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76" w:before="57" w:after="57"/>
        <w:ind w:hanging="0" w:left="0" w:right="0"/>
        <w:jc w:val="center"/>
        <w:rPr>
          <w:rFonts w:ascii="Arial" w:hAnsi="Arial"/>
          <w:b/>
          <w:bCs/>
          <w:color w:val="000000"/>
        </w:rPr>
      </w:pPr>
      <w:r>
        <w:rPr>
          <w:rFonts w:ascii="Arial" w:hAnsi="Arial"/>
          <w:b/>
          <w:bCs/>
          <w:color w:val="000000"/>
        </w:rPr>
        <w:t>TERMO DE REFERÊNCIA – LEI 14.133/21</w:t>
      </w:r>
    </w:p>
    <w:p>
      <w:pPr>
        <w:pStyle w:val="Normal"/>
        <w:spacing w:lineRule="auto" w:line="276" w:before="57" w:after="57"/>
        <w:ind w:hanging="0" w:left="0" w:right="0"/>
        <w:jc w:val="center"/>
        <w:rPr>
          <w:rFonts w:ascii="Arial" w:hAnsi="Arial" w:cs="Arial"/>
          <w:b/>
          <w:u w:val="single"/>
        </w:rPr>
      </w:pPr>
      <w:r>
        <w:rPr>
          <w:rFonts w:cs="Arial" w:ascii="Arial" w:hAnsi="Arial"/>
          <w:b/>
          <w:u w:val="single"/>
        </w:rPr>
      </w:r>
    </w:p>
    <w:p>
      <w:pPr>
        <w:pStyle w:val="Normal"/>
        <w:spacing w:lineRule="auto" w:line="276" w:before="57" w:after="57"/>
        <w:ind w:hanging="0" w:left="0" w:right="0"/>
        <w:jc w:val="center"/>
        <w:rPr/>
      </w:pPr>
      <w:r>
        <w:rPr>
          <w:rFonts w:ascii="Arial" w:hAnsi="Arial"/>
          <w:b/>
          <w:bCs/>
          <w:iCs/>
          <w:color w:val="000000"/>
        </w:rPr>
        <w:t xml:space="preserve">REGISTRO DE PREÇOS – </w:t>
      </w:r>
      <w:r>
        <w:rPr>
          <w:rFonts w:eastAsia="Times New Roman" w:cs="Times New Roman" w:ascii="Arial" w:hAnsi="Arial"/>
          <w:b/>
          <w:bCs/>
          <w:iCs/>
          <w:color w:val="000000"/>
          <w:szCs w:val="20"/>
        </w:rPr>
        <w:t>AQUISIÇÃO D</w:t>
      </w:r>
      <w:r>
        <w:rPr>
          <w:rFonts w:eastAsia="Times New Roman" w:cs="Times New Roman" w:ascii="Arial" w:hAnsi="Arial"/>
          <w:b/>
          <w:bCs/>
          <w:iCs/>
          <w:color w:val="000000"/>
          <w:szCs w:val="20"/>
          <w:u w:val="none"/>
        </w:rPr>
        <w:t xml:space="preserve">E </w:t>
      </w:r>
      <w:r>
        <w:rPr>
          <w:rFonts w:eastAsia="Times New Roman" w:cs="Arial" w:ascii="Arial" w:hAnsi="Arial"/>
          <w:b/>
          <w:bCs/>
          <w:iCs/>
          <w:color w:val="000000"/>
          <w:szCs w:val="20"/>
          <w:u w:val="none"/>
        </w:rPr>
        <w:t>MOBILIÁRIO ESCOLAR</w:t>
      </w:r>
    </w:p>
    <w:p>
      <w:pPr>
        <w:pStyle w:val="Normal"/>
        <w:spacing w:lineRule="auto" w:line="276" w:before="57" w:after="57"/>
        <w:ind w:hanging="0" w:left="0" w:right="0"/>
        <w:jc w:val="center"/>
        <w:rPr>
          <w:rFonts w:ascii="Arial" w:hAnsi="Arial" w:cs="Arial"/>
          <w:b/>
          <w:u w:val="single"/>
        </w:rPr>
      </w:pPr>
      <w:r>
        <w:rPr>
          <w:rFonts w:cs="Arial" w:ascii="Arial" w:hAnsi="Arial"/>
          <w:b/>
          <w:u w:val="single"/>
        </w:rPr>
      </w:r>
    </w:p>
    <w:p>
      <w:pPr>
        <w:pStyle w:val="Normal"/>
        <w:spacing w:lineRule="auto" w:line="276" w:before="57" w:after="57"/>
        <w:ind w:hanging="0" w:left="0" w:right="0"/>
        <w:jc w:val="center"/>
        <w:rPr/>
      </w:pPr>
      <w:r>
        <w:rPr>
          <w:rFonts w:cs="Arial" w:ascii="Arial" w:hAnsi="Arial"/>
          <w:b/>
          <w:bCs/>
          <w:i w:val="false"/>
          <w:iCs w:val="false"/>
          <w:color w:val="000000"/>
        </w:rPr>
        <w:t xml:space="preserve">Processo Administrativo nº </w:t>
      </w:r>
      <w:r>
        <w:rPr>
          <w:rFonts w:eastAsia="Times New Roman" w:cs="Times New Roman" w:ascii="Arial" w:hAnsi="Arial"/>
          <w:b/>
          <w:bCs/>
          <w:i w:val="false"/>
          <w:iCs w:val="false"/>
          <w:color w:val="000000"/>
        </w:rPr>
        <w:t>0006309</w:t>
      </w:r>
      <w:r>
        <w:rPr>
          <w:rFonts w:cs="Arial" w:ascii="Arial" w:hAnsi="Arial"/>
          <w:b/>
          <w:bCs/>
          <w:i w:val="false"/>
          <w:iCs w:val="false"/>
          <w:color w:val="000000"/>
        </w:rPr>
        <w:t>/2024 de 26 de agosto de 2024 (Secretaria Municipal de Educação)</w:t>
      </w:r>
    </w:p>
    <w:p>
      <w:pPr>
        <w:pStyle w:val="Normal"/>
        <w:spacing w:lineRule="auto" w:line="276" w:before="57" w:after="57"/>
        <w:ind w:hanging="0" w:left="0" w:right="0"/>
        <w:jc w:val="center"/>
        <w:rPr>
          <w:rFonts w:ascii="Arial" w:hAnsi="Arial" w:cs="Arial"/>
          <w:b/>
          <w:u w:val="single"/>
        </w:rPr>
      </w:pPr>
      <w:r>
        <w:rPr>
          <w:rFonts w:cs="Arial" w:ascii="Arial" w:hAnsi="Arial"/>
          <w:b/>
          <w:u w:val="single"/>
        </w:rPr>
      </w:r>
    </w:p>
    <w:p>
      <w:pPr>
        <w:pStyle w:val="Normal"/>
        <w:spacing w:lineRule="auto" w:line="276" w:before="57" w:after="57"/>
        <w:ind w:hanging="0" w:left="0" w:right="0"/>
        <w:jc w:val="center"/>
        <w:rPr>
          <w:rFonts w:ascii="Arial" w:hAnsi="Arial" w:cs="Arial"/>
          <w:b/>
          <w:u w:val="single"/>
        </w:rPr>
      </w:pPr>
      <w:r>
        <w:rPr>
          <w:rFonts w:cs="Arial" w:ascii="Arial" w:hAnsi="Arial"/>
          <w:b/>
          <w:u w:val="single"/>
        </w:rPr>
      </w:r>
    </w:p>
    <w:p>
      <w:pPr>
        <w:pStyle w:val="Nivel1"/>
        <w:spacing w:lineRule="auto" w:line="276" w:before="57" w:after="57"/>
        <w:ind w:hanging="0" w:left="0" w:right="0"/>
        <w:rPr>
          <w:rFonts w:cs="Times New Roman"/>
          <w:bCs/>
          <w:sz w:val="24"/>
          <w:szCs w:val="24"/>
        </w:rPr>
      </w:pPr>
      <w:r>
        <w:rPr>
          <w:rFonts w:cs="Times New Roman"/>
          <w:bCs/>
          <w:sz w:val="24"/>
          <w:szCs w:val="24"/>
        </w:rPr>
        <w:t>1. DAS CONDIÇÕES GERAIS DA AQUISIÇÃO</w:t>
      </w:r>
    </w:p>
    <w:p>
      <w:pPr>
        <w:pStyle w:val="ListParagraph"/>
        <w:tabs>
          <w:tab w:val="clear" w:pos="708"/>
          <w:tab w:val="left" w:pos="0" w:leader="none"/>
        </w:tabs>
        <w:suppressAutoHyphens w:val="false"/>
        <w:spacing w:lineRule="auto" w:line="276" w:before="57" w:after="57"/>
        <w:ind w:hanging="0" w:left="0" w:right="0"/>
        <w:contextualSpacing w:val="false"/>
        <w:jc w:val="both"/>
        <w:rPr/>
      </w:pPr>
      <w:r>
        <w:rPr>
          <w:rFonts w:ascii="Arial" w:hAnsi="Arial"/>
          <w:b w:val="false"/>
          <w:bCs w:val="false"/>
          <w:iCs/>
          <w:szCs w:val="24"/>
        </w:rPr>
        <w:t>1.1 Registro de preços</w:t>
      </w:r>
      <w:r>
        <w:rPr>
          <w:rFonts w:ascii="Arial" w:hAnsi="Arial"/>
          <w:b/>
          <w:bCs/>
          <w:iCs/>
          <w:szCs w:val="24"/>
        </w:rPr>
        <w:t xml:space="preserve"> </w:t>
      </w:r>
      <w:r>
        <w:rPr>
          <w:rFonts w:ascii="Arial" w:hAnsi="Arial"/>
          <w:iCs/>
          <w:szCs w:val="24"/>
        </w:rPr>
        <w:t>para aquisição de equipamentos/mobiliário escolar para atender as Escolas da Rede Municipal de Ensino e Secretaria Municipal de Educação, a fim de oferecer subsídios para o bom atendimento aos alunos e funcionários para um período de 01 (um) ano, r</w:t>
      </w:r>
      <w:r>
        <w:rPr>
          <w:rFonts w:eastAsia="Times New Roman" w:cs="Times New Roman" w:ascii="Arial" w:hAnsi="Arial"/>
          <w:iCs/>
          <w:color w:val="000000"/>
          <w:sz w:val="24"/>
          <w:szCs w:val="24"/>
        </w:rPr>
        <w:t>elacionados e especificados constantes neste TR e ETP, apêndice dos autos.</w:t>
      </w:r>
    </w:p>
    <w:tbl>
      <w:tblPr>
        <w:tblW w:w="9440" w:type="dxa"/>
        <w:jc w:val="center"/>
        <w:tblInd w:w="0" w:type="dxa"/>
        <w:tblLayout w:type="fixed"/>
        <w:tblCellMar>
          <w:top w:w="0" w:type="dxa"/>
          <w:left w:w="70" w:type="dxa"/>
          <w:bottom w:w="0" w:type="dxa"/>
          <w:right w:w="70" w:type="dxa"/>
        </w:tblCellMar>
      </w:tblPr>
      <w:tblGrid>
        <w:gridCol w:w="676"/>
        <w:gridCol w:w="3684"/>
        <w:gridCol w:w="959"/>
        <w:gridCol w:w="1019"/>
        <w:gridCol w:w="1355"/>
        <w:gridCol w:w="1747"/>
      </w:tblGrid>
      <w:tr>
        <w:trPr>
          <w:trHeight w:val="269" w:hRule="atLeast"/>
        </w:trPr>
        <w:tc>
          <w:tcPr>
            <w:tcW w:w="6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Arial" w:hAnsi="Arial" w:cs="Arial"/>
                <w:b/>
                <w:bCs/>
                <w:sz w:val="22"/>
                <w:szCs w:val="22"/>
              </w:rPr>
            </w:pPr>
            <w:r>
              <w:rPr>
                <w:rFonts w:cs="Arial" w:ascii="Arial" w:hAnsi="Arial"/>
                <w:b/>
                <w:bCs/>
                <w:sz w:val="22"/>
                <w:szCs w:val="22"/>
              </w:rPr>
              <w:t>Item</w:t>
            </w:r>
          </w:p>
        </w:tc>
        <w:tc>
          <w:tcPr>
            <w:tcW w:w="3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Arial" w:hAnsi="Arial" w:cs="Arial"/>
                <w:b/>
                <w:bCs/>
                <w:sz w:val="22"/>
                <w:szCs w:val="22"/>
              </w:rPr>
            </w:pPr>
            <w:r>
              <w:rPr>
                <w:rFonts w:cs="Arial" w:ascii="Arial" w:hAnsi="Arial"/>
                <w:b/>
                <w:bCs/>
                <w:sz w:val="22"/>
                <w:szCs w:val="22"/>
              </w:rPr>
              <w:t>Descrição</w:t>
            </w:r>
          </w:p>
        </w:tc>
        <w:tc>
          <w:tcPr>
            <w:tcW w:w="959"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76" w:before="57" w:after="57"/>
              <w:ind w:hanging="0" w:left="0" w:right="0"/>
              <w:jc w:val="center"/>
              <w:rPr>
                <w:rFonts w:ascii="Arial" w:hAnsi="Arial" w:cs="Arial"/>
                <w:b/>
                <w:bCs/>
                <w:sz w:val="22"/>
                <w:szCs w:val="22"/>
              </w:rPr>
            </w:pPr>
            <w:r>
              <w:rPr>
                <w:rFonts w:cs="Arial" w:ascii="Arial" w:hAnsi="Arial"/>
                <w:b/>
                <w:bCs/>
                <w:sz w:val="22"/>
                <w:szCs w:val="22"/>
              </w:rPr>
              <w:t>Quant.</w:t>
            </w:r>
          </w:p>
        </w:tc>
        <w:tc>
          <w:tcPr>
            <w:tcW w:w="1019"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76" w:before="57" w:after="57"/>
              <w:ind w:hanging="0" w:left="0" w:right="0"/>
              <w:jc w:val="center"/>
              <w:rPr>
                <w:rFonts w:ascii="Arial" w:hAnsi="Arial" w:cs="Arial"/>
                <w:b/>
                <w:bCs/>
                <w:sz w:val="22"/>
                <w:szCs w:val="22"/>
              </w:rPr>
            </w:pPr>
            <w:r>
              <w:rPr>
                <w:rFonts w:cs="Arial" w:ascii="Arial" w:hAnsi="Arial"/>
                <w:b/>
                <w:bCs/>
                <w:sz w:val="22"/>
                <w:szCs w:val="22"/>
              </w:rPr>
              <w:t>Unidade de medida</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pPr>
            <w:r>
              <w:rPr>
                <w:rFonts w:cs="Arial" w:ascii="Arial" w:hAnsi="Arial"/>
                <w:b/>
                <w:bCs/>
                <w:sz w:val="22"/>
                <w:szCs w:val="22"/>
              </w:rPr>
              <w:t>Preço unitário</w:t>
            </w:r>
            <w:r>
              <w:rPr>
                <w:rFonts w:cs="Arial" w:ascii="Arial" w:hAnsi="Arial"/>
                <w:b/>
                <w:bCs/>
                <w:sz w:val="22"/>
                <w:szCs w:val="22"/>
                <w:u w:val="single"/>
              </w:rPr>
              <w:t xml:space="preserve"> </w:t>
            </w:r>
            <w:r>
              <w:rPr>
                <w:rFonts w:cs="Arial" w:ascii="Arial" w:hAnsi="Arial"/>
                <w:b/>
                <w:bCs/>
                <w:sz w:val="22"/>
                <w:szCs w:val="22"/>
                <w:u w:val="none"/>
              </w:rPr>
              <w:t>estimado</w:t>
            </w:r>
          </w:p>
        </w:tc>
        <w:tc>
          <w:tcPr>
            <w:tcW w:w="17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pPr>
            <w:r>
              <w:rPr>
                <w:rFonts w:cs="Arial" w:ascii="Arial" w:hAnsi="Arial"/>
                <w:b/>
                <w:bCs/>
                <w:sz w:val="22"/>
                <w:szCs w:val="22"/>
              </w:rPr>
              <w:t>Preço total</w:t>
            </w:r>
            <w:r>
              <w:rPr>
                <w:rFonts w:cs="Arial" w:ascii="Arial" w:hAnsi="Arial"/>
                <w:b/>
                <w:bCs/>
                <w:sz w:val="22"/>
                <w:szCs w:val="22"/>
                <w:u w:val="single"/>
              </w:rPr>
              <w:t xml:space="preserve"> </w:t>
            </w:r>
            <w:r>
              <w:rPr>
                <w:rFonts w:cs="Arial" w:ascii="Arial" w:hAnsi="Arial"/>
                <w:b/>
                <w:bCs/>
                <w:sz w:val="22"/>
                <w:szCs w:val="22"/>
                <w:u w:val="none"/>
              </w:rPr>
              <w:t>estimado</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001</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Armário de aço com duas portas confeccionado em chapa de aço galvanizado com tratamento anticorrosivo e pintura eletroestática a pó. deverá possuir 02 (duas) portas, uma com trincos internos (superior e inferior) e outra com fechadura com chave e cópia. com no mínimo 04 (quatro) prateleiras com sistema de fixação por encaixe. prateleiras, portas, fundo e laterais confeccionadas em chapa de aço galvanizado, rodapé e reforço interno em chapa de aço galvanizado, pés metálicos com sapatas de plástico reguláveis. . dimensões aproximadas (l x a x p): 92x186x47 cm,. garantia mínima 1 ano.</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150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R$ 824,43</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R$ 123.664,50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002</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pPr>
            <w:r>
              <w:rPr>
                <w:rFonts w:ascii="Arial" w:hAnsi="Arial"/>
              </w:rPr>
              <w:t>Cadeira giratória ortopédica, base em nylon, base giratória com rodízios, assento e encosto em couto p.u., regulagem de altura, suporte para braços, suporte cervical, minimamente deve conter as seguintes dimensões (l x a x p), 69 x 98-108cm x 60cm. cor preta, tamanho único, ergonômica</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r>
          </w:p>
          <w:p>
            <w:pPr>
              <w:pStyle w:val="Normal"/>
              <w:spacing w:lineRule="auto" w:line="276" w:before="57" w:after="57"/>
              <w:ind w:hanging="0" w:left="0" w:right="0"/>
              <w:jc w:val="center"/>
              <w:rPr>
                <w:rFonts w:ascii="Arial" w:hAnsi="Arial"/>
                <w:sz w:val="22"/>
                <w:szCs w:val="22"/>
              </w:rPr>
            </w:pPr>
            <w:r>
              <w:rPr>
                <w:rFonts w:ascii="Arial" w:hAnsi="Arial"/>
                <w:sz w:val="22"/>
                <w:szCs w:val="22"/>
              </w:rPr>
              <w:t>150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spacing w:val="-5"/>
              </w:rPr>
            </w:pPr>
            <w:r>
              <w:rPr>
                <w:spacing w:val="-5"/>
              </w:rPr>
            </w:r>
          </w:p>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r>
          </w:p>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R$ 605,65</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r>
          </w:p>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R$ 90.847,50</w:t>
            </w:r>
          </w:p>
        </w:tc>
      </w:tr>
      <w:tr>
        <w:trPr>
          <w:trHeight w:val="344"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003</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Cadeira plástica em polipropileno, com braço, tipo poltrona, empilhável, nas dimensões l x p x a (cm): 55 x 48 x 79 cm. cor branca. certificado INMETRO</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R$ 58,26</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R$ 29.130,00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004</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Banco em longarina 03 lugares base, tubo 50x30mm, estofamento em espuma injetada, em corano de 02 colunas cada lado - cor preto</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R$ 530,97</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R$ 265.485,00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005</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Banco longarina 03(três) lugares, assento e encosto em plástico, encosto fixo, estrutura preta, tubo 50 x 30 mm</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R$ 320,77</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R$ 160.385,00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006</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Cadeira escritório, material estrutura: aço, material revestimento assento e encosto: couro sintético material assento: polipropileno injetado, tratamento superficial estrutura: pintura em epóxi, tipo base: giratória, tipo encosto: médio, apoio braço: com braços reguláveis, cor:preta, tipo sistema regulagem vertical:a gás, quantidade pés:5 un</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300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R$ 492,22</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R$ 147.666,00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007</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pPr>
            <w:r>
              <w:rPr>
                <w:rFonts w:ascii="Arial" w:hAnsi="Arial"/>
              </w:rPr>
              <w:t>Roupeiro em aço 15 portas pequenos cinza com tranca para cadeado, com veneziana por porta para ventilação, sistema de tranca invertidas que dispensa a utilização de parafusos, confeccionado em chapa de aço nº 26, com tratamento antiferrugem pintura eletrotática, totalmente montável, dispensa a utilização de parafusos, pés removíveis em polipropileno com regulagem de desnível de alto impacto na cor preta, capacidade mínima por prateleira 15 kg (bem distribuídos), com aberturas para ventilação, reforço interno por porta, produto de acordo com as normas nr-18 e nr-24, estrutura, corpo, laterais e portas confeccionados em chapas 26 (0,45 mm) altura: 34 cm (podendo variar 1,5 cm para mais ou para menos) largura: 28 cm (podendo variar 1,5 cm para mais ou para menos) profundidade: 37,5 cm (podendo variar 1,5 cm para mais ou para menos) dimensões aproximadas do produto (a x l x c) 193,0x103,5x40,0cm</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150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R$ 1.499,31</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R$ 224.896,50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008</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Estante em aço 06 bandejas – medida 1,98 x 0,92 x 0,40, coluna chapa de 20 e prateleira chapa de 26, com laterais com sapatas em polipropileno nas 04 colunas, para evitar arranhar o piso e diminuir barulho ao ser locomovida, pintura epóxi.</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100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R$ 350,67</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R$ 35.067,00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009</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pPr>
            <w:r>
              <w:rPr>
                <w:rFonts w:ascii="Arial" w:hAnsi="Arial"/>
              </w:rPr>
              <w:t>Conjunto em l, mesa para escritório com as seguintes características: 2 gavetas com chaves. Medidas: 1,20 comprimento x 0,60 largura x 0,75 altura com 2 gavetas. Conexão arredondada. Medidas: 0,60 largura x 0,60 profundidade. Suporte para teclado retrátil, pés em estrutura redondo e, aço 30x50 pintura eletrostática com tratamento antiferruginoso, sem ponteiras, com sapatas niveladoras, conexão 9 graus. Mesa auxiliar sem gavetas. Medidas: 0,86 comprimento x 0,60 largura x 0,75 altura. Especificações: móvel em melamínico, 18 mm, tampo das mesas com perfil PVC arredondado, pés em tubo de metalon, com acabamento em madeira lateral revestida em melamínico. Opções de cor da madeira: cinza, opções de cor</w:t>
            </w:r>
            <w:r>
              <w:rPr>
                <w:rFonts w:ascii="Arial" w:hAnsi="Arial"/>
              </w:rPr>
              <w:t>es</w:t>
            </w:r>
            <w:r>
              <w:rPr>
                <w:rFonts w:ascii="Arial" w:hAnsi="Arial"/>
              </w:rPr>
              <w:t xml:space="preserve"> do acabamento: cinza</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R$ 953,97</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R$ 47.698,50</w:t>
            </w:r>
          </w:p>
        </w:tc>
      </w:tr>
      <w:tr>
        <w:trPr>
          <w:trHeight w:val="1610"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010</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Mesa de escritório com no mínimo 02 gavetas com chaves – medidas 1,40 x 0,60 x 0,74 mm, com corrediças metálicas, tampo BP 25 mm com acabamento em abs 0,15 m, com furo para passagem de fios, estrutura pés metalon 30 x 50 e parte debaixo do pé em tubo oblongo com ponteira em polipropileno.</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100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R$ 499,67</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R$ 49.967,00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011</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Mesa plástica na cor branca, formato quadrada, fabricada em polipropileno carbonato e aditivos. e aditivada com anti-uv resistente aos raios solares, dimensões aproximadas (axlxp) 70x70x72 (cxlxa), podendo variar 1,5 cm para mais ou para menos, com peso aproximado de 3,6 kg, com capacidade mínima de 120 kg distribuídos sobre a mesa,, resistente a intempéries, com certificação do INMETRO e garantia mínima de 12 meses</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R$ 67,09</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R$ 33.545,00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012</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pPr>
            <w:r>
              <w:rPr>
                <w:rFonts w:ascii="Arial" w:hAnsi="Arial"/>
              </w:rPr>
              <w:t>Mesa para reunião – medidas mínimas 2,50 x 1,10 x 0,75 (a x l x p)tampo em bp de 30mm, acabamento em fita de bordo, sistema de colagem hot-melt, estrutura dos pés metalon 30 x 50 e parte debaixo do pé em tubo oblongo e metalon 20 x 30.</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R$ 1.655,45</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R$ 82.772,50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013</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Quadro branco magnético, medida 1,20 x 0,90 m, bordas em alumínio e suporte para fixação</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30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R$ 479,60</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R$ 14.388,00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b/>
                <w:spacing w:val="-5"/>
              </w:rPr>
            </w:pPr>
            <w:r>
              <w:rPr>
                <w:b/>
                <w:spacing w:val="-5"/>
              </w:rPr>
            </w:r>
          </w:p>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014</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Quadro branco quadriculado, não magnético, uso escolar, laminado melamínico branco brilhante, em chapa de madeira resinada mdf, 17 mm espessura mínima total, moldura em alumínio anodizado natural, mínimo de 18mm frente, cantoneiras fixação invisível, suporte para apagador e pincel. medidas mínimas 120 x 300 cm (a x l). garantia mínima de 01 ano.</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r>
          </w:p>
          <w:p>
            <w:pPr>
              <w:pStyle w:val="Normal"/>
              <w:spacing w:lineRule="auto" w:line="276" w:before="57" w:after="57"/>
              <w:ind w:hanging="0" w:left="0" w:right="0"/>
              <w:jc w:val="center"/>
              <w:rPr>
                <w:rFonts w:ascii="Arial" w:hAnsi="Arial"/>
                <w:sz w:val="22"/>
                <w:szCs w:val="22"/>
              </w:rPr>
            </w:pPr>
            <w:r>
              <w:rPr>
                <w:rFonts w:ascii="Arial" w:hAnsi="Arial"/>
                <w:sz w:val="22"/>
                <w:szCs w:val="22"/>
              </w:rPr>
              <w:t>80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b/>
                <w:i/>
                <w:i/>
                <w:sz w:val="22"/>
                <w:szCs w:val="22"/>
              </w:rPr>
            </w:pPr>
            <w:r>
              <w:rPr>
                <w:rFonts w:ascii="Arial" w:hAnsi="Arial"/>
                <w:b/>
                <w:i/>
                <w:sz w:val="22"/>
                <w:szCs w:val="22"/>
              </w:rPr>
            </w:r>
          </w:p>
          <w:p>
            <w:pPr>
              <w:pStyle w:val="TableParagraph"/>
              <w:spacing w:lineRule="auto" w:line="276" w:before="57" w:after="57"/>
              <w:ind w:hanging="0" w:left="0" w:right="0"/>
              <w:jc w:val="center"/>
              <w:rPr>
                <w:spacing w:val="-5"/>
              </w:rPr>
            </w:pPr>
            <w:r>
              <w:rPr>
                <w:spacing w:val="-5"/>
              </w:rPr>
            </w:r>
          </w:p>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r>
          </w:p>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r>
          </w:p>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R$ 1.442,67</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r>
          </w:p>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R$ 115.413,60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015</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Conjunto refeitório infantil mesa em compensado com no mínimo 15mm, revestida em fórmica medindo aproximadamente 200 x 60 x 64 cm (c x l x a); banco em compensado revestido em fórmica medindo aproximadamente 200 x 30 x 35 cm (c x l x a), com tratamento anti-ferruginoso pintura eletrostática a pó cinza, confeccionados em tubo de aço industrial 5 x 3 cm, garantia mínima 1 ano.</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80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R$ 1.501,33</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R$ 120.1066,40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016</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Cadeira secretária fixa, 04 pés, tubo 3/4, estofada em espuma injetada, com 30 mm de espessura, revestimento em tecido</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30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R$ 236,75</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R$ 7.102,50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017</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Mesa escolar para cadeirante - estrutura metálica; tampo em madeira; revestimento branco cristal; peças em termoplástico;</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R$ 679,62</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R$ 33.981,00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018</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Mesa estação de trabalho estilo plataforma, com 4 lugares 180x120cm, produzido em mdp. tampos em 15mm. pés em 15mm. tamanho montado: altura: 73 cm, largura: 180cm, comprimento: 120cm.</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R$ 1.581,00</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R$ 79.050,00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019</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Mesa refeitório adulto - 8 lugares tampo mdp com 8 cadeiras turim cor preta mesa refeitório 8 lugares com tampo mdp – bp com de espessura em 15. estrutura em aço com acabamento epoxi. medidas: mesa refeitório 8 lugares – para cadeiras soltas: comprimento 260 cm | altura 72 cm | profundidade 80 cm revestimento melamínico de baixa pressão, popularmente chamado de bp, é o acabamento aplicado nas chapas de mdp e mdf que garante a durabilidade do móvel e também a sua beleza inclui 8 cadeiras turim preta detalhes da cadeira turim: assento: confeccionado em polipropileno (pp), no sistema de injeção termoplástica. com travamento feito por parafusos. encosto: confeccionado em polipropileno (pp), no sistema de injeção termoplástica.</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r>
          </w:p>
          <w:p>
            <w:pPr>
              <w:pStyle w:val="Normal"/>
              <w:spacing w:lineRule="auto" w:line="276" w:before="57" w:after="57"/>
              <w:ind w:hanging="0" w:left="0" w:right="0"/>
              <w:jc w:val="center"/>
              <w:rPr>
                <w:rFonts w:ascii="Arial" w:hAnsi="Arial"/>
                <w:sz w:val="22"/>
                <w:szCs w:val="22"/>
              </w:rPr>
            </w:pPr>
            <w:r>
              <w:rPr>
                <w:rFonts w:ascii="Arial" w:hAnsi="Arial"/>
                <w:sz w:val="22"/>
                <w:szCs w:val="22"/>
              </w:rPr>
              <w:t>20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spacing w:val="-5"/>
              </w:rPr>
            </w:pPr>
            <w:r>
              <w:rPr>
                <w:spacing w:val="-5"/>
              </w:rPr>
            </w:r>
          </w:p>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r>
          </w:p>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R$ 2.765,21</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r>
          </w:p>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R$ 55.304,20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b/>
                <w:spacing w:val="-5"/>
                <w:sz w:val="22"/>
                <w:szCs w:val="22"/>
              </w:rPr>
            </w:pPr>
            <w:r>
              <w:rPr>
                <w:rFonts w:ascii="Arial" w:hAnsi="Arial"/>
                <w:b/>
                <w:spacing w:val="-5"/>
                <w:sz w:val="22"/>
                <w:szCs w:val="22"/>
              </w:rPr>
              <w:t>020</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pPr>
            <w:r>
              <w:rPr>
                <w:rFonts w:ascii="Arial" w:hAnsi="Arial"/>
              </w:rPr>
              <w:t>Armário tipo colméia, organizador, 100% mdf, estilo estante/prateleira. cor: branco medidas: 1,85m altura x 1,20cm largura x 35cm profundidade medida dos nichos: 27cm largura x 34cm altura x 35cm profundidade sem portas.</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pacing w:val="-5"/>
                <w:sz w:val="22"/>
                <w:szCs w:val="22"/>
              </w:rPr>
            </w:pPr>
            <w:r>
              <w:rPr>
                <w:rFonts w:ascii="Arial" w:hAnsi="Arial"/>
                <w:spacing w:val="-5"/>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R$ 623,50</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R$ 31.175,00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021</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Armário baixo em melamínico 18 mm, com 02 portas e chave, medindo 0,74 x 0,90 x 0,40 m, cor cinza</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R$ 468,16</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R$ 23.408,00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022</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Armario arquivo - para pasta suspensa. Nas seguintes especificaçoes: material: em aço gavetas: 03 a 04 gavetas; deslizamento da gaveta: trilho telescopico. quantidade de gavetas: 3 a 4 - cor: cinza padrão - chapa: 26 / 0,45 mm leve - suporta até 13 kg por gaveta - pintura: epóxi pó texturizada - corrediças em nylon - puxador padrão. medida aproximadas: altura: 198 cm largura: 047 cm profundidade: 0,51 cm peso: 8 kg garantia: 3 meses cor: cinza</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R$ 724,89</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R$ 36.244,50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sz w:val="22"/>
                <w:szCs w:val="22"/>
              </w:rPr>
            </w:pPr>
            <w:r>
              <w:rPr>
                <w:rFonts w:ascii="Arial" w:hAnsi="Arial"/>
                <w:sz w:val="22"/>
                <w:szCs w:val="22"/>
              </w:rPr>
              <w:t>023</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pPr>
            <w:r>
              <w:rPr>
                <w:rFonts w:ascii="Arial" w:hAnsi="Arial"/>
              </w:rPr>
              <w:t>Conjunto escolar tamanho 03: composto por: carteira com tampo em madeira aglomerada (mdp), com os cantos arredondados, espessura 18 mm com revestimentos superior em laminado melamínico de alta pressão com o acabamento texturizado cor cinza, afixado à estrutura com parafusos de 5,0 mm de ø x 45 mm de comprimento, ponteiras e sapatas em polipropileno copolímero virgem afixado por meio de encaixe. dimensões aproximadas: (l x p x a) 60 x 45 x 46 cm; cadeira: assento e encosto em polipropileno e afixado à estrutura por rebites de repuxo. em polipropileno copolímero virgem, afixado por meio de encaixe. dimensões aproximadas: encosto 39 x 19 cm assento 40 x 31 cm altura até o assento 35 cm. observações: conjunto indicado para jardim e pré-escola. recomendado para crianças de 1,19 a 1,42 m de altura. garantia mínima 1 ano.</w:t>
            </w:r>
          </w:p>
          <w:p>
            <w:pPr>
              <w:pStyle w:val="Normal"/>
              <w:spacing w:lineRule="auto" w:line="276" w:before="57" w:after="57"/>
              <w:ind w:hanging="0" w:left="0" w:right="0"/>
              <w:jc w:val="both"/>
              <w:rPr>
                <w:rFonts w:ascii="Arial" w:hAnsi="Arial"/>
                <w:i/>
                <w:i/>
                <w:iCs/>
              </w:rPr>
            </w:pPr>
            <w:r>
              <w:rPr>
                <w:rFonts w:ascii="Arial" w:hAnsi="Arial"/>
                <w:i/>
                <w:iCs/>
              </w:rPr>
              <w:t>Deverá ser apresentada a certificação do INMETRO de acordo com a portaria nº 401 de 28/12/2020.</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r>
          </w:p>
          <w:p>
            <w:pPr>
              <w:pStyle w:val="Normal"/>
              <w:spacing w:lineRule="auto" w:line="276" w:before="57" w:after="57"/>
              <w:ind w:hanging="0" w:left="0" w:right="0"/>
              <w:jc w:val="center"/>
              <w:rPr>
                <w:rFonts w:ascii="Arial" w:hAnsi="Arial"/>
                <w:sz w:val="22"/>
                <w:szCs w:val="22"/>
              </w:rPr>
            </w:pPr>
            <w:r>
              <w:rPr>
                <w:rFonts w:ascii="Arial" w:hAnsi="Arial"/>
                <w:sz w:val="22"/>
                <w:szCs w:val="22"/>
              </w:rPr>
            </w:r>
          </w:p>
          <w:p>
            <w:pPr>
              <w:pStyle w:val="Normal"/>
              <w:spacing w:lineRule="auto" w:line="276" w:before="57" w:after="57"/>
              <w:ind w:hanging="0" w:left="0" w:right="0"/>
              <w:jc w:val="center"/>
              <w:rPr>
                <w:rFonts w:ascii="Arial" w:hAnsi="Arial"/>
                <w:sz w:val="22"/>
                <w:szCs w:val="22"/>
              </w:rPr>
            </w:pPr>
            <w:r>
              <w:rPr>
                <w:rFonts w:ascii="Arial" w:hAnsi="Arial"/>
                <w:sz w:val="22"/>
                <w:szCs w:val="22"/>
              </w:rPr>
              <w:t>1.000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sz w:val="22"/>
                <w:szCs w:val="22"/>
              </w:rPr>
            </w:pPr>
            <w:r>
              <w:rPr>
                <w:rFonts w:ascii="Arial" w:hAnsi="Arial"/>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r>
          </w:p>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429,53</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r>
          </w:p>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R$ 429.530,00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024</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pPr>
            <w:r>
              <w:rPr>
                <w:rFonts w:ascii="Arial" w:hAnsi="Arial"/>
              </w:rPr>
              <w:t>Conjunto escolar tamanho 05 composto por: carteira com tampo em madeira aglomerada (mdp), com os cantos arredondados, espessura 18 mm com revestimentos superior em laminado melamínico de alta pressão com o acabamento texturizado cor cinza, afixado à estrutura com parafusos de 5,0 mm de ø x 45 mm de comprimento. porta livros em polipropileno, afixado à estrutura por rebites de repuxo com 4,0 mm de ø x 10 mm de comprimento. ponteiras e sapatas em polipropileno copolímero virgem afixado por meio de encaixe. dimensões aproximadas: (l x p x a) 60 x 45 x 71 cm; cadeira: assento e encosto em polipropileno e afixado à estrutura por rebites de repuxo. em polipropileno copolímetro virgem e afixado por meio de encaixe. dimensões aproximadas: encosto 39 x 19 cm assento 40 x 39 cm altura até o assento 43 cm. observações: conjunto indicado para o ensino fundamental. recomendado para crianças de 1,46 a 1,76 m de altura. garantia mínima 1 ano.</w:t>
            </w:r>
          </w:p>
          <w:p>
            <w:pPr>
              <w:pStyle w:val="Normal"/>
              <w:spacing w:lineRule="auto" w:line="276" w:before="57" w:after="57"/>
              <w:ind w:hanging="0" w:left="0" w:right="0"/>
              <w:jc w:val="both"/>
              <w:rPr>
                <w:rFonts w:ascii="Arial" w:hAnsi="Arial"/>
                <w:i/>
                <w:i/>
                <w:iCs/>
              </w:rPr>
            </w:pPr>
            <w:r>
              <w:rPr>
                <w:rFonts w:ascii="Arial" w:hAnsi="Arial"/>
                <w:i/>
                <w:iCs/>
              </w:rPr>
              <w:t>Deverá ser apresentada a certificação do INMETRO de acordo com a portaria nº 401 de 28/12/2020.</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1.000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R$ 516,46</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R$ 516.460,00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025</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Conjunto escolar tamanho 06 composto por: carteira com tampo em madeira aglomerada (mdp), com os cantos arredondados, espessura 18 mm com revestimentos superior em laminado melamínico de alta pressão com o acabamento texturizado cor cinza, afixado à estrutura com parafusos de 5,0 mm de ø x 45 mm de comprimento. porta-livros em polipropileno, afixado à estrutura por rebites de repuxo com 4,0 mm de ø x 10 mm de comprimento. ponteiras e sapatas em polipropileno copolímero virgem afixado por meio de encaixe. dimensões aproximadas: (l x p x a) 60 x 45 x 76 cm; cadeira: assento e encosto em polipropileno e afixado à estrutura por rebites de repuxo. em polipropileno copolímero virgem, com o símbolo internacional de reciclagem e fixado por meio de encaixe. dimensões aproximadas: encosto 39 x 19 cm assento 40 x 43 cm altura até o assento 46 cm; observações: conjunto indicado para o ensino fundamental/médio. recomendado para crianças de 1,59 a 1,88 m de altura. garantia mínima 1 ano.</w:t>
            </w:r>
          </w:p>
          <w:p>
            <w:pPr>
              <w:pStyle w:val="Normal"/>
              <w:spacing w:lineRule="auto" w:line="276" w:before="57" w:after="57"/>
              <w:ind w:hanging="0" w:left="0" w:right="0"/>
              <w:jc w:val="both"/>
              <w:rPr/>
            </w:pPr>
            <w:r>
              <w:rPr>
                <w:rFonts w:ascii="Arial" w:hAnsi="Arial"/>
                <w:i/>
                <w:iCs/>
              </w:rPr>
              <w:t>Deverá ser apresentada a certificação do INMETRO de acordo com a portaria nº 401 de 28/12/2020.</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1.000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R$ 598,92</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R$ 598.920,00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sz w:val="22"/>
                <w:szCs w:val="22"/>
              </w:rPr>
            </w:pPr>
            <w:r>
              <w:rPr>
                <w:rFonts w:ascii="Arial" w:hAnsi="Arial"/>
                <w:sz w:val="22"/>
                <w:szCs w:val="22"/>
              </w:rPr>
              <w:t>026</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Conjunto professor na cor cinza medindo 1,55 m x 0,775 m x 0,60 m (lxaxp) e cadeira com assento e encosto em compensado anatômico revestido em lâmina de madeira imbuia ou laminado decorativo (fórmica), estrutura em tubo 7/8, com reforço das pernas, pintura em tinta apóxi-pó, com as seguintes medidas: assento de 380 x 390 x 10 mm; encosto de 370 x 190 x 10 mm; altura até o assento de 460 mm.</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r>
          </w:p>
          <w:p>
            <w:pPr>
              <w:pStyle w:val="Normal"/>
              <w:spacing w:lineRule="auto" w:line="276" w:before="57" w:after="57"/>
              <w:ind w:hanging="0" w:left="0" w:right="0"/>
              <w:jc w:val="center"/>
              <w:rPr>
                <w:rFonts w:ascii="Arial" w:hAnsi="Arial"/>
                <w:sz w:val="22"/>
                <w:szCs w:val="22"/>
              </w:rPr>
            </w:pPr>
            <w:r>
              <w:rPr>
                <w:rFonts w:ascii="Arial" w:hAnsi="Arial"/>
                <w:sz w:val="22"/>
                <w:szCs w:val="22"/>
              </w:rPr>
              <w:t>100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r>
          </w:p>
          <w:p>
            <w:pPr>
              <w:pStyle w:val="TableParagraph"/>
              <w:spacing w:lineRule="auto" w:line="276" w:before="57" w:after="57"/>
              <w:ind w:hanging="0" w:left="0" w:right="0"/>
              <w:jc w:val="center"/>
              <w:rPr>
                <w:rFonts w:ascii="Arial" w:hAnsi="Arial"/>
                <w:sz w:val="22"/>
                <w:szCs w:val="22"/>
              </w:rPr>
            </w:pPr>
            <w:r>
              <w:rPr>
                <w:rFonts w:ascii="Arial" w:hAnsi="Arial"/>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r>
          </w:p>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R$ 461,50</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r>
          </w:p>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R$ 46.150,00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027</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Cadeira fixa cadeira ISO fixa empilhável, estrutura preta ou cinza, assento e encosto pretos ou azuis, sem braço: medidas mínimas da cadeira: altura: 80 cm, largura: 48 cm, profundidade: 50 cm, altura do assento: 44 cm, profundidade do assento: 40 cm, largura do assento: 40 cm, peso máximo do produto: 4 kgs, peso mínimo suportado: 130 kgs</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1.000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R$ 137,27</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R$ 137.270,00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028</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rFonts w:ascii="Arial" w:hAnsi="Arial"/>
              </w:rPr>
            </w:pPr>
            <w:r>
              <w:rPr>
                <w:rFonts w:ascii="Arial" w:hAnsi="Arial"/>
              </w:rPr>
              <w:t>Cadeira plástica na cor branca, fabricada em polipropileno carbonato e aditivos, e aditivada com anti-uv resistente aos raios solares, dimensões aproximadas (axlxp) 88 x 44 x 49 cm, com peso aproximado de 2,3 kg, com certificação do INMETRO e garantia mínima de 12 meses</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500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R$ 43,05</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R$ 21.525,00</w:t>
            </w:r>
          </w:p>
        </w:tc>
      </w:tr>
      <w:tr>
        <w:trPr>
          <w:trHeight w:val="269" w:hRule="atLeast"/>
        </w:trPr>
        <w:tc>
          <w:tcPr>
            <w:tcW w:w="676"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029</w:t>
            </w:r>
          </w:p>
        </w:tc>
        <w:tc>
          <w:tcPr>
            <w:tcW w:w="3684" w:type="dxa"/>
            <w:tcBorders>
              <w:left w:val="single" w:sz="4" w:space="0" w:color="000000"/>
              <w:bottom w:val="single" w:sz="4" w:space="0" w:color="000000"/>
              <w:right w:val="single" w:sz="4" w:space="0" w:color="000000"/>
            </w:tcBorders>
            <w:vAlign w:val="center"/>
          </w:tcPr>
          <w:p>
            <w:pPr>
              <w:pStyle w:val="Normal"/>
              <w:spacing w:lineRule="auto" w:line="276" w:before="57" w:after="57"/>
              <w:ind w:hanging="0" w:left="0" w:right="0"/>
              <w:jc w:val="both"/>
              <w:rPr/>
            </w:pPr>
            <w:r>
              <w:rPr>
                <w:rFonts w:ascii="Arial" w:hAnsi="Arial"/>
              </w:rPr>
              <w:t>Mesa de refeitório industrial / medidas: larg. 1200 x prof. 800 x alt.750</w:t>
              <w:br/>
              <w:t>tampo produzido em MD</w:t>
            </w:r>
            <w:r>
              <w:rPr>
                <w:rFonts w:ascii="Arial" w:hAnsi="Arial"/>
              </w:rPr>
              <w:t>F</w:t>
            </w:r>
            <w:r>
              <w:rPr>
                <w:rFonts w:ascii="Arial" w:hAnsi="Arial"/>
              </w:rPr>
              <w:t xml:space="preserve"> com 15 mm, reengrossado com mais 15 mm, totalizando 30 mm de espessura.</w:t>
              <w:br/>
              <w:t>Revestido com laminado de alta resistência da marca fórmica.</w:t>
              <w:br/>
              <w:t>Acabamento da borda em fita de PVC - 30 x 4 mm de espessura.</w:t>
            </w:r>
          </w:p>
        </w:tc>
        <w:tc>
          <w:tcPr>
            <w:tcW w:w="959" w:type="dxa"/>
            <w:tcBorders>
              <w:left w:val="single" w:sz="4" w:space="0" w:color="000000"/>
              <w:bottom w:val="single" w:sz="4" w:space="0" w:color="000000"/>
            </w:tcBorders>
            <w:vAlign w:val="center"/>
          </w:tcPr>
          <w:p>
            <w:pPr>
              <w:pStyle w:val="Normal"/>
              <w:spacing w:lineRule="auto" w:line="276" w:before="57" w:after="57"/>
              <w:ind w:hanging="0" w:left="0" w:right="0"/>
              <w:jc w:val="center"/>
              <w:rPr>
                <w:rFonts w:ascii="Arial" w:hAnsi="Arial"/>
                <w:sz w:val="22"/>
                <w:szCs w:val="22"/>
              </w:rPr>
            </w:pPr>
            <w:r>
              <w:rPr>
                <w:rFonts w:ascii="Arial" w:hAnsi="Arial"/>
                <w:sz w:val="22"/>
                <w:szCs w:val="22"/>
              </w:rPr>
              <w:t>30</w:t>
            </w:r>
          </w:p>
        </w:tc>
        <w:tc>
          <w:tcPr>
            <w:tcW w:w="1019" w:type="dxa"/>
            <w:tcBorders>
              <w:left w:val="single" w:sz="4" w:space="0" w:color="000000"/>
              <w:bottom w:val="single" w:sz="4" w:space="0" w:color="000000"/>
            </w:tcBorders>
            <w:vAlign w:val="center"/>
          </w:tcPr>
          <w:p>
            <w:pPr>
              <w:pStyle w:val="TableParagraph"/>
              <w:spacing w:lineRule="auto" w:line="276" w:before="57" w:after="57"/>
              <w:ind w:hanging="0" w:left="0" w:right="0"/>
              <w:jc w:val="center"/>
              <w:rPr>
                <w:rFonts w:ascii="Arial" w:hAnsi="Arial"/>
                <w:sz w:val="22"/>
                <w:szCs w:val="22"/>
              </w:rPr>
            </w:pPr>
            <w:r>
              <w:rPr>
                <w:rFonts w:ascii="Arial" w:hAnsi="Arial"/>
                <w:sz w:val="22"/>
                <w:szCs w:val="22"/>
              </w:rPr>
              <w:t>Und</w:t>
            </w:r>
          </w:p>
        </w:tc>
        <w:tc>
          <w:tcPr>
            <w:tcW w:w="1355" w:type="dxa"/>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right"/>
              <w:rPr>
                <w:rFonts w:ascii="Arial" w:hAnsi="Arial"/>
                <w:spacing w:val="-5"/>
                <w:sz w:val="22"/>
                <w:szCs w:val="22"/>
              </w:rPr>
            </w:pPr>
            <w:r>
              <w:rPr>
                <w:rFonts w:ascii="Arial" w:hAnsi="Arial"/>
                <w:spacing w:val="-5"/>
                <w:sz w:val="22"/>
                <w:szCs w:val="22"/>
              </w:rPr>
              <w:t>R$ 988,86</w:t>
            </w:r>
          </w:p>
        </w:tc>
        <w:tc>
          <w:tcPr>
            <w:tcW w:w="1747"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right"/>
              <w:rPr>
                <w:rFonts w:ascii="Arial" w:hAnsi="Arial" w:cs="Arial"/>
                <w:b w:val="false"/>
                <w:bCs w:val="false"/>
                <w:sz w:val="22"/>
                <w:szCs w:val="22"/>
                <w:u w:val="none"/>
              </w:rPr>
            </w:pPr>
            <w:r>
              <w:rPr>
                <w:rFonts w:cs="Arial" w:ascii="Arial" w:hAnsi="Arial"/>
                <w:b w:val="false"/>
                <w:bCs w:val="false"/>
                <w:sz w:val="22"/>
                <w:szCs w:val="22"/>
                <w:u w:val="none"/>
              </w:rPr>
              <w:t>R$ 29.665,80</w:t>
            </w:r>
          </w:p>
        </w:tc>
      </w:tr>
      <w:tr>
        <w:trPr>
          <w:trHeight w:val="206" w:hRule="atLeast"/>
        </w:trPr>
        <w:tc>
          <w:tcPr>
            <w:tcW w:w="9440" w:type="dxa"/>
            <w:gridSpan w:val="6"/>
            <w:tcBorders>
              <w:left w:val="single" w:sz="4" w:space="0" w:color="000000"/>
              <w:bottom w:val="single" w:sz="4" w:space="0" w:color="000000"/>
              <w:right w:val="single" w:sz="4" w:space="0" w:color="000000"/>
            </w:tcBorders>
            <w:vAlign w:val="center"/>
          </w:tcPr>
          <w:p>
            <w:pPr>
              <w:pStyle w:val="TableParagraph"/>
              <w:spacing w:lineRule="auto" w:line="276" w:before="57" w:after="57"/>
              <w:ind w:hanging="0" w:left="0" w:right="0"/>
              <w:jc w:val="both"/>
              <w:rPr>
                <w:rFonts w:ascii="Arial" w:hAnsi="Arial"/>
                <w:b w:val="false"/>
                <w:bCs w:val="false"/>
                <w:i w:val="false"/>
                <w:i w:val="false"/>
                <w:iCs w:val="false"/>
                <w:sz w:val="22"/>
                <w:szCs w:val="22"/>
              </w:rPr>
            </w:pPr>
            <w:r>
              <w:rPr>
                <w:rFonts w:ascii="Arial" w:hAnsi="Arial"/>
                <w:b w:val="false"/>
                <w:bCs w:val="false"/>
                <w:i w:val="false"/>
                <w:iCs w:val="false"/>
                <w:sz w:val="22"/>
                <w:szCs w:val="22"/>
              </w:rPr>
              <w:t>VALOR TOTAL ESTIMADO:  R$ 3.586.818,50 (três milhões quinhentos e oitenta e seis mil oitocentos e dezoito reais e cinquenta centavos)</w:t>
            </w:r>
          </w:p>
        </w:tc>
      </w:tr>
    </w:tbl>
    <w:p>
      <w:pPr>
        <w:pStyle w:val="Normal"/>
        <w:suppressAutoHyphens w:val="false"/>
        <w:spacing w:lineRule="auto" w:line="276" w:before="57" w:after="57"/>
        <w:ind w:hanging="0" w:left="0" w:right="0"/>
        <w:jc w:val="both"/>
        <w:rPr>
          <w:rFonts w:ascii="Arial" w:hAnsi="Arial" w:cs="Arial"/>
          <w:b/>
          <w:u w:val="single"/>
        </w:rPr>
      </w:pPr>
      <w:r>
        <w:rPr>
          <w:rFonts w:cs="Arial" w:ascii="Arial" w:hAnsi="Arial"/>
          <w:b/>
          <w:u w:val="single"/>
        </w:rPr>
      </w:r>
    </w:p>
    <w:p>
      <w:pPr>
        <w:pStyle w:val="Normal"/>
        <w:suppressAutoHyphens w:val="false"/>
        <w:spacing w:lineRule="auto" w:line="276" w:before="57" w:after="57"/>
        <w:ind w:hanging="0" w:left="0" w:right="0"/>
        <w:jc w:val="both"/>
        <w:rPr/>
      </w:pPr>
      <w:r>
        <w:rPr>
          <w:rFonts w:ascii="Arial" w:hAnsi="Arial"/>
          <w:b w:val="false"/>
          <w:bCs w:val="false"/>
          <w:iCs/>
        </w:rPr>
        <w:t>1.2</w:t>
      </w:r>
      <w:bookmarkStart w:id="0" w:name="art23§712"/>
      <w:r>
        <w:rPr>
          <w:rFonts w:ascii="Arial" w:hAnsi="Arial"/>
          <w:b w:val="false"/>
          <w:bCs w:val="false"/>
          <w:iCs/>
        </w:rPr>
        <w:t>. Os equipamentos deverão, obrigatoriamente, atender as exigências de qualidade, observados os padrões e normas baixadas pelos órgãos competentes de controle e fiscalização de qualidade industrial ou equiparadas.</w:t>
      </w:r>
      <w:bookmarkStart w:id="1" w:name="art23§711"/>
    </w:p>
    <w:p>
      <w:pPr>
        <w:pStyle w:val="ListParagraph"/>
        <w:suppressAutoHyphens w:val="false"/>
        <w:spacing w:lineRule="auto" w:line="276" w:before="57" w:after="57"/>
        <w:ind w:hanging="0" w:left="0" w:right="0"/>
        <w:contextualSpacing w:val="false"/>
        <w:jc w:val="both"/>
        <w:rPr/>
      </w:pPr>
      <w:r>
        <w:rPr>
          <w:rFonts w:ascii="Arial" w:hAnsi="Arial"/>
          <w:b w:val="false"/>
          <w:bCs w:val="false"/>
          <w:iCs/>
          <w:szCs w:val="24"/>
        </w:rPr>
        <w:t>1.3.</w:t>
      </w:r>
      <w:r>
        <w:rPr>
          <w:rFonts w:ascii="Arial" w:hAnsi="Arial"/>
          <w:b w:val="false"/>
          <w:bCs w:val="false"/>
          <w:iCs/>
          <w:szCs w:val="24"/>
          <w:u w:val="none"/>
        </w:rPr>
        <w:t xml:space="preserve"> </w:t>
      </w:r>
      <w:r>
        <w:rPr>
          <w:rFonts w:cs="Arial" w:ascii="Arial" w:hAnsi="Arial"/>
          <w:b w:val="false"/>
          <w:bCs w:val="false"/>
          <w:iCs/>
          <w:color w:val="000000"/>
          <w:szCs w:val="20"/>
          <w:u w:val="none"/>
        </w:rPr>
        <w:t xml:space="preserve">O prazo de vigência da </w:t>
      </w:r>
      <w:r>
        <w:rPr>
          <w:rFonts w:eastAsia="Times New Roman" w:cs="Arial" w:ascii="Arial" w:hAnsi="Arial"/>
          <w:b w:val="false"/>
          <w:bCs w:val="false"/>
          <w:iCs/>
          <w:color w:val="000000"/>
          <w:sz w:val="24"/>
          <w:szCs w:val="20"/>
          <w:u w:val="none"/>
        </w:rPr>
        <w:t>aquisição</w:t>
      </w:r>
      <w:r>
        <w:rPr>
          <w:rFonts w:cs="Arial" w:ascii="Arial" w:hAnsi="Arial"/>
          <w:b w:val="false"/>
          <w:bCs w:val="false"/>
          <w:iCs/>
          <w:color w:val="000000"/>
          <w:szCs w:val="20"/>
          <w:u w:val="none"/>
        </w:rPr>
        <w:t xml:space="preserve"> será de 01 </w:t>
      </w:r>
      <w:r>
        <w:rPr>
          <w:rFonts w:eastAsia="Times New Roman" w:cs="Arial" w:ascii="Arial" w:hAnsi="Arial"/>
          <w:b w:val="false"/>
          <w:bCs w:val="false"/>
          <w:iCs/>
          <w:color w:val="000000"/>
          <w:sz w:val="24"/>
          <w:szCs w:val="20"/>
          <w:u w:val="none"/>
        </w:rPr>
        <w:t>(um</w:t>
      </w:r>
      <w:r>
        <w:rPr>
          <w:rFonts w:cs="Arial" w:ascii="Arial" w:hAnsi="Arial"/>
          <w:b w:val="false"/>
          <w:bCs w:val="false"/>
          <w:iCs/>
          <w:color w:val="000000"/>
          <w:szCs w:val="20"/>
          <w:u w:val="none"/>
        </w:rPr>
        <w:t xml:space="preserve">) </w:t>
      </w:r>
      <w:r>
        <w:rPr>
          <w:rFonts w:cs="Arial" w:ascii="Arial" w:hAnsi="Arial"/>
          <w:b w:val="false"/>
          <w:bCs w:val="false"/>
          <w:iCs/>
          <w:color w:val="FF0000"/>
          <w:szCs w:val="20"/>
          <w:u w:val="none"/>
        </w:rPr>
        <w:t xml:space="preserve"> </w:t>
      </w:r>
      <w:r>
        <w:rPr>
          <w:rFonts w:cs="Arial" w:ascii="Arial" w:hAnsi="Arial"/>
          <w:b w:val="false"/>
          <w:bCs w:val="false"/>
          <w:iCs/>
          <w:color w:val="auto"/>
          <w:szCs w:val="20"/>
          <w:u w:val="none"/>
        </w:rPr>
        <w:t>ano</w:t>
      </w:r>
      <w:r>
        <w:rPr>
          <w:rFonts w:cs="Arial" w:ascii="Arial" w:hAnsi="Arial"/>
          <w:b w:val="false"/>
          <w:bCs w:val="false"/>
          <w:iCs/>
          <w:color w:val="FF0000"/>
          <w:szCs w:val="20"/>
          <w:u w:val="none"/>
        </w:rPr>
        <w:t xml:space="preserve"> </w:t>
      </w:r>
      <w:r>
        <w:rPr>
          <w:rFonts w:cs="Arial" w:ascii="Arial" w:hAnsi="Arial"/>
          <w:b w:val="false"/>
          <w:bCs w:val="false"/>
          <w:iCs/>
          <w:color w:val="000000"/>
          <w:szCs w:val="20"/>
          <w:u w:val="none"/>
        </w:rPr>
        <w:t>contados a partir da assinatura da Ata de Registro de Preços.</w:t>
      </w:r>
    </w:p>
    <w:p>
      <w:pPr>
        <w:pStyle w:val="ListParagraph"/>
        <w:tabs>
          <w:tab w:val="clear" w:pos="708"/>
          <w:tab w:val="left" w:pos="0" w:leader="none"/>
        </w:tabs>
        <w:suppressAutoHyphens w:val="false"/>
        <w:spacing w:lineRule="auto" w:line="276" w:before="57" w:after="57"/>
        <w:ind w:hanging="0" w:left="0" w:right="0"/>
        <w:contextualSpacing w:val="false"/>
        <w:jc w:val="both"/>
        <w:rPr/>
      </w:pPr>
      <w:r>
        <w:rPr>
          <w:rFonts w:eastAsia="Times New Roman" w:cs="Times New Roman" w:ascii="Arial" w:hAnsi="Arial"/>
          <w:b w:val="false"/>
          <w:bCs w:val="false"/>
          <w:iCs/>
          <w:color w:val="000000"/>
          <w:sz w:val="24"/>
          <w:szCs w:val="24"/>
        </w:rPr>
        <w:t>1.4. O custo estimado total da aquisição é de</w:t>
      </w:r>
      <w:r>
        <w:rPr>
          <w:rFonts w:eastAsia="Times New Roman" w:cs="Times New Roman" w:ascii="Arial" w:hAnsi="Arial"/>
          <w:b w:val="false"/>
          <w:bCs w:val="false"/>
          <w:i/>
          <w:iCs/>
          <w:color w:val="FF0000"/>
          <w:sz w:val="24"/>
          <w:szCs w:val="24"/>
        </w:rPr>
        <w:t xml:space="preserve"> </w:t>
      </w:r>
      <w:r>
        <w:rPr>
          <w:rFonts w:eastAsia="Times New Roman" w:cs="Times New Roman" w:ascii="Arial" w:hAnsi="Arial"/>
          <w:b w:val="false"/>
          <w:bCs w:val="false"/>
          <w:i w:val="false"/>
          <w:iCs w:val="false"/>
          <w:color w:val="000000"/>
          <w:sz w:val="24"/>
          <w:szCs w:val="24"/>
        </w:rPr>
        <w:t xml:space="preserve"> </w:t>
      </w:r>
      <w:r>
        <w:rPr>
          <w:rFonts w:eastAsia="Times New Roman" w:cs="Times New Roman" w:ascii="Arial" w:hAnsi="Arial"/>
          <w:b w:val="false"/>
          <w:bCs w:val="false"/>
          <w:i w:val="false"/>
          <w:iCs w:val="false"/>
          <w:color w:val="000000"/>
          <w:sz w:val="22"/>
          <w:szCs w:val="22"/>
        </w:rPr>
        <w:t xml:space="preserve"> R</w:t>
      </w:r>
      <w:r>
        <w:rPr>
          <w:rFonts w:eastAsia="Times New Roman" w:cs="Times New Roman" w:ascii="Arial" w:hAnsi="Arial"/>
          <w:b w:val="false"/>
          <w:bCs w:val="false"/>
          <w:i w:val="false"/>
          <w:iCs w:val="false"/>
          <w:color w:val="000000"/>
          <w:sz w:val="24"/>
          <w:szCs w:val="24"/>
        </w:rPr>
        <w:t xml:space="preserve">$ 3.586.818,50 (três milhões quinhentos e oitenta e seis mil oitocentos e dezoito reais e cinquenta centavos) </w:t>
      </w:r>
      <w:r>
        <w:rPr>
          <w:rFonts w:eastAsia="Times New Roman" w:cs="Times New Roman" w:ascii="Arial" w:hAnsi="Arial"/>
          <w:b w:val="false"/>
          <w:bCs w:val="false"/>
          <w:iCs/>
          <w:color w:val="000000"/>
          <w:sz w:val="24"/>
          <w:szCs w:val="24"/>
        </w:rPr>
        <w:t>conforme custos unitários apostos nos orçame</w:t>
      </w:r>
      <w:r>
        <w:rPr>
          <w:rFonts w:eastAsia="Times New Roman" w:cs="Times New Roman" w:ascii="Arial" w:hAnsi="Arial"/>
          <w:iCs/>
          <w:color w:val="000000"/>
          <w:sz w:val="24"/>
          <w:szCs w:val="24"/>
        </w:rPr>
        <w:t>ntos e no quadro comparativo de preços simples em anexo.</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Arial" w:hAnsi="Arial" w:cs="Arial"/>
          <w:b/>
          <w:u w:val="single"/>
        </w:rPr>
      </w:pPr>
      <w:r>
        <w:rPr>
          <w:rFonts w:cs="Arial" w:ascii="Arial" w:hAnsi="Arial"/>
          <w:b/>
          <w:u w:val="single"/>
        </w:rPr>
      </w:r>
    </w:p>
    <w:p>
      <w:pPr>
        <w:pStyle w:val="Nivel1"/>
        <w:spacing w:lineRule="auto" w:line="276" w:before="57" w:after="57"/>
        <w:ind w:hanging="0" w:left="0" w:right="0"/>
        <w:rPr>
          <w:rFonts w:cs="Times New Roman"/>
          <w:bCs/>
          <w:sz w:val="24"/>
          <w:szCs w:val="24"/>
        </w:rPr>
      </w:pPr>
      <w:r>
        <w:rPr>
          <w:rFonts w:cs="Times New Roman"/>
          <w:bCs/>
          <w:sz w:val="24"/>
          <w:szCs w:val="24"/>
        </w:rPr>
        <w:t>2. FUNDAMENTAÇÃO E DESCRIÇÃO DA NECESSIDADE DA AQUISIÇÃO</w:t>
      </w:r>
      <w:bookmarkStart w:id="2" w:name="art23§73"/>
      <w:bookmarkStart w:id="3" w:name="art23§71"/>
    </w:p>
    <w:p>
      <w:pPr>
        <w:pStyle w:val="Normal"/>
        <w:spacing w:lineRule="auto" w:line="276" w:before="57" w:after="57"/>
        <w:ind w:hanging="0" w:left="0" w:right="0"/>
        <w:rPr>
          <w:rFonts w:ascii="Arial" w:hAnsi="Arial"/>
          <w:b w:val="false"/>
          <w:bCs w:val="false"/>
        </w:rPr>
      </w:pPr>
      <w:r>
        <w:rPr>
          <w:rFonts w:ascii="Arial" w:hAnsi="Arial"/>
          <w:b w:val="false"/>
          <w:bCs w:val="false"/>
        </w:rPr>
        <w:t>2.1. Contratação de empresa especializada, por meio de licitação e registro de preços, para aquisição de equipamentos.</w:t>
      </w:r>
    </w:p>
    <w:p>
      <w:pPr>
        <w:pStyle w:val="Normal"/>
        <w:widowControl/>
        <w:suppressAutoHyphens w:val="true"/>
        <w:bidi w:val="0"/>
        <w:spacing w:lineRule="auto" w:line="276" w:before="57" w:after="57"/>
        <w:ind w:hanging="0" w:left="0" w:right="0"/>
        <w:jc w:val="left"/>
        <w:rPr>
          <w:rFonts w:ascii="Arial" w:hAnsi="Arial"/>
          <w:b w:val="false"/>
          <w:bCs w:val="false"/>
        </w:rPr>
      </w:pPr>
      <w:r>
        <w:rPr>
          <w:rFonts w:ascii="Arial" w:hAnsi="Arial"/>
          <w:b w:val="false"/>
          <w:bCs w:val="false"/>
        </w:rPr>
        <w:t>2.2. Considerando a necessidade de atendermos as escolas municipais com os mobiliários;</w:t>
      </w:r>
    </w:p>
    <w:p>
      <w:pPr>
        <w:pStyle w:val="Normal"/>
        <w:spacing w:lineRule="auto" w:line="276" w:before="57" w:after="57"/>
        <w:ind w:hanging="0" w:left="0" w:right="0"/>
        <w:jc w:val="both"/>
        <w:rPr>
          <w:rFonts w:ascii="Arial" w:hAnsi="Arial" w:eastAsia="Arial" w:cs="Arial"/>
          <w:b w:val="false"/>
          <w:bCs w:val="false"/>
          <w:sz w:val="24"/>
          <w:szCs w:val="24"/>
          <w:lang w:val="pt-BR"/>
        </w:rPr>
      </w:pPr>
      <w:r>
        <w:rPr>
          <w:rFonts w:eastAsia="Arial" w:cs="Arial" w:ascii="Arial" w:hAnsi="Arial"/>
          <w:b w:val="false"/>
          <w:bCs w:val="false"/>
          <w:sz w:val="24"/>
          <w:szCs w:val="24"/>
          <w:lang w:val="pt-BR"/>
        </w:rPr>
        <w:t>2.3. Considerando que é responsabilidade da Secretaria Municipal de Educação dar suporte as escolas a fim de oferecer subsídios para um bom atendimento aos alunos e funcionários, faz se necessária a aquisição.</w:t>
      </w:r>
    </w:p>
    <w:p>
      <w:pPr>
        <w:pStyle w:val="ListParagraph"/>
        <w:spacing w:lineRule="auto" w:line="276" w:before="57" w:after="57"/>
        <w:ind w:hanging="0" w:left="0" w:right="0"/>
        <w:contextualSpacing w:val="false"/>
        <w:jc w:val="both"/>
        <w:rPr>
          <w:rFonts w:ascii="Arial" w:hAnsi="Arial" w:cs="Arial"/>
          <w:b/>
          <w:u w:val="single"/>
        </w:rPr>
      </w:pPr>
      <w:r>
        <w:rPr>
          <w:rFonts w:cs="Arial" w:ascii="Arial" w:hAnsi="Arial"/>
          <w:b/>
          <w:u w:val="single"/>
        </w:rPr>
      </w:r>
    </w:p>
    <w:p>
      <w:pPr>
        <w:pStyle w:val="ListParagraph"/>
        <w:spacing w:lineRule="auto" w:line="276" w:before="57" w:after="57"/>
        <w:ind w:hanging="0" w:left="0" w:right="0"/>
        <w:contextualSpacing w:val="false"/>
        <w:jc w:val="both"/>
        <w:rPr>
          <w:rFonts w:ascii="Arial" w:hAnsi="Arial"/>
          <w:b/>
          <w:bCs/>
          <w:sz w:val="24"/>
          <w:szCs w:val="24"/>
        </w:rPr>
      </w:pPr>
      <w:r>
        <w:rPr>
          <w:rFonts w:ascii="Arial" w:hAnsi="Arial"/>
          <w:b/>
          <w:bCs/>
          <w:sz w:val="24"/>
          <w:szCs w:val="24"/>
        </w:rPr>
        <w:t>3. DESCRIÇÃO DA SOLUÇÃO</w:t>
      </w:r>
    </w:p>
    <w:p>
      <w:pPr>
        <w:pStyle w:val="Normal"/>
        <w:spacing w:lineRule="auto" w:line="276" w:before="57" w:after="57"/>
        <w:ind w:hanging="0" w:left="0" w:right="0"/>
        <w:rPr>
          <w:rFonts w:ascii="Arial" w:hAnsi="Arial"/>
          <w:b w:val="false"/>
          <w:bCs w:val="false"/>
        </w:rPr>
      </w:pPr>
      <w:r>
        <w:rPr>
          <w:rFonts w:ascii="Arial" w:hAnsi="Arial"/>
          <w:b w:val="false"/>
          <w:bCs w:val="false"/>
        </w:rPr>
        <w:t>3.1 A solução a ser adotada consiste em aquisição de equipamentos para as unidades escolares e Secretaria Municipal de Educação.</w:t>
      </w:r>
    </w:p>
    <w:p>
      <w:pPr>
        <w:pStyle w:val="Normal"/>
        <w:spacing w:lineRule="auto" w:line="276" w:before="57" w:after="57"/>
        <w:ind w:hanging="0" w:left="0" w:right="0"/>
        <w:rPr/>
      </w:pPr>
      <w:r>
        <w:rPr>
          <w:rFonts w:ascii="Arial" w:hAnsi="Arial"/>
          <w:b w:val="false"/>
          <w:bCs w:val="false"/>
        </w:rPr>
        <w:t>3.2 A aquisição deverá obedecer, no que couber, ao disposto na Lei n.º 14.133/2021 e suas alteraç</w:t>
      </w:r>
      <w:r>
        <w:rPr>
          <w:rFonts w:ascii="Arial" w:hAnsi="Arial"/>
        </w:rPr>
        <w:t>ões.</w:t>
      </w:r>
    </w:p>
    <w:p>
      <w:pPr>
        <w:pStyle w:val="Normal"/>
        <w:spacing w:lineRule="auto" w:line="276" w:before="57" w:after="57"/>
        <w:ind w:hanging="0" w:left="0" w:right="0"/>
        <w:rPr/>
      </w:pPr>
      <w:r>
        <w:rPr>
          <w:rFonts w:ascii="Arial" w:hAnsi="Arial"/>
          <w:bCs/>
          <w:lang w:val="pt-BR"/>
        </w:rPr>
        <w:t xml:space="preserve">3.3 </w:t>
      </w:r>
      <w:r>
        <w:rPr>
          <w:rFonts w:ascii="Arial" w:hAnsi="Arial"/>
          <w:lang w:val="pt-BR"/>
        </w:rPr>
        <w:t>As especificações dos serviços que estão contidas neste Estudo Técnico Preliminar, conforme solicitação de compras em anexo, estão de acordo com os padrões existentes no mercado.</w:t>
      </w:r>
    </w:p>
    <w:p>
      <w:pPr>
        <w:pStyle w:val="Normal"/>
        <w:spacing w:lineRule="auto" w:line="276" w:before="57" w:after="57"/>
        <w:ind w:hanging="0" w:left="0" w:right="0"/>
        <w:rPr>
          <w:lang w:val="pt-BR"/>
        </w:rPr>
      </w:pPr>
      <w:r>
        <w:rPr>
          <w:lang w:val="pt-BR"/>
        </w:rPr>
      </w:r>
    </w:p>
    <w:p>
      <w:pPr>
        <w:pStyle w:val="Nivel1"/>
        <w:spacing w:lineRule="auto" w:line="276" w:before="57" w:after="57"/>
        <w:ind w:hanging="0" w:left="0" w:right="0"/>
        <w:rPr>
          <w:bCs/>
          <w:sz w:val="24"/>
          <w:szCs w:val="24"/>
        </w:rPr>
      </w:pPr>
      <w:r>
        <w:rPr>
          <w:bCs/>
          <w:sz w:val="24"/>
          <w:szCs w:val="24"/>
        </w:rPr>
        <w:t>4. CLASSIFICAÇÃO DOS BENS COMUNS</w:t>
      </w:r>
    </w:p>
    <w:p>
      <w:pPr>
        <w:pStyle w:val="Normal"/>
        <w:spacing w:lineRule="auto" w:line="276" w:before="57" w:after="57"/>
        <w:ind w:hanging="0" w:left="0" w:right="0"/>
        <w:jc w:val="both"/>
        <w:rPr/>
      </w:pPr>
      <w:r>
        <w:rPr>
          <w:rFonts w:cs="Arial" w:ascii="Arial" w:hAnsi="Arial"/>
          <w:b w:val="false"/>
          <w:bCs w:val="false"/>
          <w:color w:val="000000"/>
        </w:rPr>
        <w:t xml:space="preserve">4.1. Trata-se de bens comuns a ser contratado mediante </w:t>
      </w:r>
      <w:r>
        <w:rPr>
          <w:rFonts w:eastAsia="Times New Roman" w:cs="Arial" w:ascii="Arial" w:hAnsi="Arial"/>
          <w:b w:val="false"/>
          <w:bCs w:val="false"/>
          <w:color w:val="000000"/>
          <w:szCs w:val="20"/>
        </w:rPr>
        <w:t>registro de preços</w:t>
      </w:r>
      <w:r>
        <w:rPr>
          <w:rFonts w:cs="Arial" w:ascii="Arial" w:hAnsi="Arial"/>
          <w:b w:val="false"/>
          <w:bCs w:val="false"/>
          <w:color w:val="000000"/>
        </w:rPr>
        <w:t>.</w:t>
      </w:r>
    </w:p>
    <w:p>
      <w:pPr>
        <w:pStyle w:val="Normal"/>
        <w:spacing w:lineRule="auto" w:line="276" w:before="57" w:after="57"/>
        <w:ind w:hanging="0" w:left="0" w:right="0"/>
        <w:jc w:val="both"/>
        <w:rPr/>
      </w:pPr>
      <w:r>
        <w:rPr/>
      </w:r>
    </w:p>
    <w:p>
      <w:pPr>
        <w:pStyle w:val="Normal"/>
        <w:spacing w:lineRule="auto" w:line="276" w:before="57" w:after="57"/>
        <w:ind w:hanging="0" w:left="0" w:right="0"/>
        <w:jc w:val="both"/>
        <w:rPr/>
      </w:pPr>
      <w:r>
        <w:rPr>
          <w:rFonts w:cs="Arial" w:ascii="Arial" w:hAnsi="Arial"/>
          <w:b/>
          <w:bCs/>
          <w:color w:val="000000"/>
        </w:rPr>
        <w:t>5. REQUISITOS DA CONTRATAÇÃO/AQUISIÇÃO</w:t>
      </w:r>
    </w:p>
    <w:p>
      <w:pPr>
        <w:pStyle w:val="Normal"/>
        <w:spacing w:lineRule="auto" w:line="276" w:before="57" w:after="57"/>
        <w:ind w:hanging="0" w:left="0" w:right="0"/>
        <w:rPr/>
      </w:pPr>
      <w:r>
        <w:rPr>
          <w:rFonts w:ascii="Arial" w:hAnsi="Arial"/>
          <w:b/>
          <w:bCs/>
        </w:rPr>
        <w:t>5.1.</w:t>
      </w:r>
      <w:r>
        <w:rPr>
          <w:rFonts w:ascii="Arial" w:hAnsi="Arial"/>
        </w:rPr>
        <w:t xml:space="preserve"> Neste procedimento licitatório será sagrada vencedora o fornecedor apresentar o menor preço por item. </w:t>
      </w:r>
    </w:p>
    <w:p>
      <w:pPr>
        <w:pStyle w:val="Normal"/>
        <w:spacing w:lineRule="auto" w:line="276" w:before="57" w:after="57"/>
        <w:ind w:hanging="0" w:left="0" w:right="0"/>
        <w:jc w:val="both"/>
        <w:rPr/>
      </w:pPr>
      <w:r>
        <w:rPr>
          <w:rFonts w:cs="Arial" w:ascii="Arial" w:hAnsi="Arial"/>
          <w:b w:val="false"/>
          <w:bCs w:val="false"/>
          <w:sz w:val="24"/>
          <w:szCs w:val="24"/>
          <w:u w:val="none"/>
        </w:rPr>
        <w:t>5.2. A contratação deverá obedecer, no que couber, ao disposto na Lei n.º 14.133/2021 e suas alterações e demais legislações</w:t>
      </w:r>
      <w:r>
        <w:rPr>
          <w:rFonts w:cs="Arial" w:ascii="Arial" w:hAnsi="Arial"/>
          <w:b w:val="false"/>
          <w:bCs w:val="false"/>
          <w:sz w:val="24"/>
          <w:szCs w:val="24"/>
          <w:u w:val="single"/>
        </w:rPr>
        <w:t xml:space="preserve"> </w:t>
      </w:r>
      <w:r>
        <w:rPr>
          <w:rFonts w:cs="Arial" w:ascii="Arial" w:hAnsi="Arial"/>
          <w:b w:val="false"/>
          <w:bCs w:val="false"/>
          <w:sz w:val="24"/>
          <w:szCs w:val="24"/>
          <w:u w:val="none"/>
        </w:rPr>
        <w:t>correlatas</w:t>
      </w:r>
      <w:r>
        <w:rPr>
          <w:rFonts w:cs="Arial" w:ascii="Arial" w:hAnsi="Arial"/>
          <w:b w:val="false"/>
          <w:bCs w:val="false"/>
          <w:sz w:val="24"/>
          <w:szCs w:val="24"/>
          <w:u w:val="single"/>
        </w:rPr>
        <w:t>.</w:t>
      </w:r>
    </w:p>
    <w:p>
      <w:pPr>
        <w:pStyle w:val="Normal"/>
        <w:spacing w:lineRule="auto" w:line="276" w:before="57" w:after="57"/>
        <w:ind w:hanging="0" w:left="0" w:right="0"/>
        <w:jc w:val="both"/>
        <w:rPr>
          <w:rFonts w:ascii="Arial" w:hAnsi="Arial" w:cs="Arial"/>
          <w:b w:val="false"/>
          <w:bCs w:val="false"/>
          <w:u w:val="none"/>
        </w:rPr>
      </w:pPr>
      <w:r>
        <w:rPr>
          <w:rFonts w:cs="Arial" w:ascii="Arial" w:hAnsi="Arial"/>
          <w:b w:val="false"/>
          <w:bCs w:val="false"/>
          <w:u w:val="none"/>
        </w:rPr>
      </w:r>
    </w:p>
    <w:p>
      <w:pPr>
        <w:pStyle w:val="Nivel1"/>
        <w:suppressAutoHyphens w:val="true"/>
        <w:spacing w:lineRule="auto" w:line="276" w:before="57" w:after="57"/>
        <w:ind w:hanging="0" w:left="0" w:right="0"/>
        <w:rPr>
          <w:i w:val="false"/>
          <w:i w:val="false"/>
          <w:iCs w:val="false"/>
          <w:sz w:val="24"/>
          <w:szCs w:val="24"/>
        </w:rPr>
      </w:pPr>
      <w:r>
        <w:rPr>
          <w:i w:val="false"/>
          <w:iCs w:val="false"/>
          <w:sz w:val="24"/>
          <w:szCs w:val="24"/>
        </w:rPr>
        <w:t>6. ENTREGA E CRITÉRIOS DE ACEITAÇÃO DO OBJETO.</w:t>
      </w:r>
    </w:p>
    <w:p>
      <w:pPr>
        <w:pStyle w:val="Normal"/>
        <w:spacing w:lineRule="auto" w:line="276" w:before="57" w:after="57"/>
        <w:ind w:hanging="0" w:left="0" w:right="0"/>
        <w:jc w:val="both"/>
        <w:rPr/>
      </w:pPr>
      <w:r>
        <w:rPr>
          <w:rFonts w:cs="Arial" w:ascii="Arial" w:hAnsi="Arial"/>
          <w:b w:val="false"/>
          <w:bCs w:val="false"/>
          <w:sz w:val="24"/>
          <w:szCs w:val="24"/>
          <w:lang w:val="pt-BR"/>
        </w:rPr>
        <w:t>6</w:t>
      </w:r>
      <w:r>
        <w:rPr>
          <w:rFonts w:cs="Arial" w:ascii="Arial" w:hAnsi="Arial"/>
          <w:b w:val="false"/>
          <w:bCs w:val="false"/>
          <w:sz w:val="24"/>
          <w:szCs w:val="24"/>
        </w:rPr>
        <w:t>.1 Os equipamentos deverão ser entregues diretamente na escola indicada no ato da solicitação (Escola Bairro Jardim Vitória, Rua Valdir Boni, Bairro jardim Vitória, São Gabriel da Palha - ES ou em endereço indicado na Ordem de Fornecimento,</w:t>
      </w:r>
      <w:r>
        <w:rPr>
          <w:rFonts w:cs="Arial" w:ascii="Arial" w:hAnsi="Arial"/>
          <w:b/>
          <w:bCs/>
          <w:sz w:val="24"/>
          <w:szCs w:val="24"/>
        </w:rPr>
        <w:t xml:space="preserve"> no prazo máximo de 45 dias corridos após a emissão de Autorização de Fornecimento)</w:t>
      </w:r>
      <w:r>
        <w:rPr>
          <w:rFonts w:cs="Arial" w:ascii="Arial" w:hAnsi="Arial"/>
          <w:b w:val="false"/>
          <w:bCs w:val="false"/>
          <w:sz w:val="24"/>
          <w:szCs w:val="24"/>
        </w:rPr>
        <w:t>, com localizaçã</w:t>
      </w:r>
      <w:r>
        <w:rPr>
          <w:rFonts w:cs="Arial" w:ascii="Arial" w:hAnsi="Arial"/>
          <w:b w:val="false"/>
          <w:bCs w:val="false"/>
          <w:sz w:val="24"/>
          <w:szCs w:val="24"/>
          <w:lang w:val="pt-BR"/>
        </w:rPr>
        <w:t>o na sede do Município</w:t>
      </w:r>
      <w:r>
        <w:rPr>
          <w:rFonts w:cs="Arial" w:ascii="Arial" w:hAnsi="Arial"/>
          <w:b w:val="false"/>
          <w:bCs w:val="false"/>
          <w:sz w:val="24"/>
          <w:szCs w:val="24"/>
        </w:rPr>
        <w:t>, das 07</w:t>
      </w:r>
      <w:r>
        <w:rPr>
          <w:rFonts w:cs="Arial" w:ascii="Arial" w:hAnsi="Arial"/>
          <w:b w:val="false"/>
          <w:bCs w:val="false"/>
          <w:sz w:val="24"/>
          <w:szCs w:val="24"/>
          <w:lang w:val="pt-BR"/>
        </w:rPr>
        <w:t>h</w:t>
      </w:r>
      <w:r>
        <w:rPr>
          <w:rFonts w:cs="Arial" w:ascii="Arial" w:hAnsi="Arial"/>
          <w:b w:val="false"/>
          <w:bCs w:val="false"/>
          <w:sz w:val="24"/>
          <w:szCs w:val="24"/>
        </w:rPr>
        <w:t xml:space="preserve"> às 16h, observando os dias de funcionament</w:t>
      </w:r>
      <w:r>
        <w:rPr>
          <w:rFonts w:cs="Arial" w:ascii="Arial" w:hAnsi="Arial"/>
          <w:b w:val="false"/>
          <w:bCs w:val="false"/>
          <w:sz w:val="24"/>
          <w:szCs w:val="24"/>
          <w:lang w:val="pt-BR"/>
        </w:rPr>
        <w:t xml:space="preserve">o, </w:t>
      </w:r>
      <w:r>
        <w:rPr>
          <w:rFonts w:cs="Arial" w:ascii="Arial" w:hAnsi="Arial"/>
          <w:b w:val="false"/>
          <w:bCs w:val="false"/>
          <w:sz w:val="24"/>
          <w:szCs w:val="24"/>
        </w:rPr>
        <w:t>juntamente com a Nota Fiscal,  emitida pelo Departamento Municipal de Compras e Contratos</w:t>
      </w:r>
      <w:r>
        <w:rPr>
          <w:rFonts w:cs="Arial" w:ascii="Arial" w:hAnsi="Arial"/>
          <w:b w:val="false"/>
          <w:bCs w:val="false"/>
          <w:sz w:val="24"/>
          <w:szCs w:val="24"/>
          <w:lang w:val="pt-BR"/>
        </w:rPr>
        <w:t>.</w:t>
      </w:r>
    </w:p>
    <w:p>
      <w:pPr>
        <w:pStyle w:val="Normal"/>
        <w:spacing w:lineRule="auto" w:line="276" w:before="57" w:after="57"/>
        <w:ind w:hanging="0" w:left="0" w:right="0"/>
        <w:jc w:val="both"/>
        <w:rPr/>
      </w:pPr>
      <w:r>
        <w:rPr>
          <w:rFonts w:cs="Arial" w:ascii="Arial" w:hAnsi="Arial"/>
          <w:b w:val="false"/>
          <w:bCs w:val="false"/>
          <w:sz w:val="24"/>
          <w:szCs w:val="24"/>
          <w:lang w:val="pt-BR"/>
        </w:rPr>
        <w:t>6</w:t>
      </w:r>
      <w:r>
        <w:rPr>
          <w:rFonts w:cs="Arial" w:ascii="Arial" w:hAnsi="Arial"/>
          <w:b w:val="false"/>
          <w:bCs w:val="false"/>
          <w:sz w:val="24"/>
          <w:szCs w:val="24"/>
        </w:rPr>
        <w:t>.2 Nos preços apresentados deverão estar incluídas todas as despesas carga e descarga, com mão de obra, materiais, encargos trabalhistas, previdenciários, fiscais, comerciais, despesas e obrigações financeiras de qualquer natureza e outras despesas, diretas e indiretas, inclusive lucro, necessários à perfeita entrega dos equipamentos;</w:t>
      </w:r>
    </w:p>
    <w:p>
      <w:pPr>
        <w:pStyle w:val="Normal"/>
        <w:spacing w:lineRule="auto" w:line="276" w:before="57" w:after="57"/>
        <w:ind w:hanging="0" w:left="0" w:right="0"/>
        <w:jc w:val="both"/>
        <w:rPr/>
      </w:pPr>
      <w:r>
        <w:rPr>
          <w:rFonts w:cs="Arial" w:ascii="Arial" w:hAnsi="Arial"/>
          <w:b w:val="false"/>
          <w:bCs w:val="false"/>
          <w:sz w:val="24"/>
          <w:szCs w:val="24"/>
          <w:lang w:val="pt-BR"/>
        </w:rPr>
        <w:t>6</w:t>
      </w:r>
      <w:r>
        <w:rPr>
          <w:rFonts w:cs="Arial" w:ascii="Arial" w:hAnsi="Arial"/>
          <w:b w:val="false"/>
          <w:bCs w:val="false"/>
          <w:sz w:val="24"/>
          <w:szCs w:val="24"/>
        </w:rPr>
        <w:t xml:space="preserve">.3 A Empresa vencedora garantirá a qualidade dos materiais obrigando-se a repor aquele que apresentar defeito ou for entregue em desacordo com o apresentado na proposta; </w:t>
      </w:r>
    </w:p>
    <w:p>
      <w:pPr>
        <w:pStyle w:val="Normal"/>
        <w:spacing w:lineRule="auto" w:line="276" w:before="57" w:after="57"/>
        <w:ind w:hanging="0" w:left="0" w:right="0"/>
        <w:jc w:val="both"/>
        <w:rPr/>
      </w:pPr>
      <w:r>
        <w:rPr>
          <w:rFonts w:cs="Arial" w:ascii="Arial" w:hAnsi="Arial"/>
          <w:b w:val="false"/>
          <w:bCs w:val="false"/>
          <w:sz w:val="24"/>
          <w:szCs w:val="24"/>
          <w:lang w:val="pt-BR"/>
        </w:rPr>
        <w:t>6</w:t>
      </w:r>
      <w:r>
        <w:rPr>
          <w:rFonts w:cs="Arial" w:ascii="Arial" w:hAnsi="Arial"/>
          <w:b w:val="false"/>
          <w:bCs w:val="false"/>
          <w:sz w:val="24"/>
          <w:szCs w:val="24"/>
        </w:rPr>
        <w:t>.</w:t>
      </w:r>
      <w:r>
        <w:rPr>
          <w:rFonts w:cs="Arial" w:ascii="Arial" w:hAnsi="Arial"/>
          <w:b w:val="false"/>
          <w:bCs w:val="false"/>
          <w:sz w:val="24"/>
          <w:szCs w:val="24"/>
          <w:lang w:val="pt-BR"/>
        </w:rPr>
        <w:t>4</w:t>
      </w:r>
      <w:r>
        <w:rPr>
          <w:rFonts w:cs="Arial" w:ascii="Arial" w:hAnsi="Arial"/>
          <w:b w:val="false"/>
          <w:bCs w:val="false"/>
          <w:sz w:val="24"/>
          <w:szCs w:val="24"/>
        </w:rPr>
        <w:t xml:space="preserve"> O recebimento provisório dos equipamentos entregue dar-se-á pela conferência com a descrição constante da ordem de fornecimento ou serviço;</w:t>
      </w:r>
    </w:p>
    <w:p>
      <w:pPr>
        <w:pStyle w:val="Normal"/>
        <w:spacing w:lineRule="auto" w:line="276" w:before="57" w:after="57"/>
        <w:ind w:hanging="0" w:left="0" w:right="0"/>
        <w:jc w:val="both"/>
        <w:rPr/>
      </w:pPr>
      <w:r>
        <w:rPr>
          <w:rFonts w:cs="Arial" w:ascii="Arial" w:hAnsi="Arial"/>
          <w:b w:val="false"/>
          <w:bCs w:val="false"/>
          <w:sz w:val="24"/>
          <w:szCs w:val="24"/>
          <w:lang w:val="pt-BR"/>
        </w:rPr>
        <w:t>6</w:t>
      </w:r>
      <w:r>
        <w:rPr>
          <w:rFonts w:cs="Arial" w:ascii="Arial" w:hAnsi="Arial"/>
          <w:b w:val="false"/>
          <w:bCs w:val="false"/>
          <w:sz w:val="24"/>
          <w:szCs w:val="24"/>
        </w:rPr>
        <w:t>.</w:t>
      </w:r>
      <w:r>
        <w:rPr>
          <w:rFonts w:cs="Arial" w:ascii="Arial" w:hAnsi="Arial"/>
          <w:b w:val="false"/>
          <w:bCs w:val="false"/>
          <w:sz w:val="24"/>
          <w:szCs w:val="24"/>
          <w:lang w:val="pt-BR"/>
        </w:rPr>
        <w:t>5</w:t>
      </w:r>
      <w:r>
        <w:rPr>
          <w:rFonts w:cs="Arial" w:ascii="Arial" w:hAnsi="Arial"/>
          <w:b w:val="false"/>
          <w:bCs w:val="false"/>
          <w:sz w:val="24"/>
          <w:szCs w:val="24"/>
        </w:rPr>
        <w:t xml:space="preserve"> O recebimento definitivo ocorrerá com a verificação integral das características do produto fornecido pela CONTRATADA;</w:t>
      </w:r>
    </w:p>
    <w:p>
      <w:pPr>
        <w:pStyle w:val="Normal"/>
        <w:spacing w:lineRule="auto" w:line="276" w:before="57" w:after="57"/>
        <w:ind w:hanging="0" w:left="0" w:right="0"/>
        <w:jc w:val="both"/>
        <w:rPr/>
      </w:pPr>
      <w:r>
        <w:rPr>
          <w:rFonts w:cs="Arial" w:ascii="Arial" w:hAnsi="Arial"/>
          <w:b w:val="false"/>
          <w:bCs w:val="false"/>
          <w:sz w:val="24"/>
          <w:szCs w:val="24"/>
          <w:lang w:val="pt-BR"/>
        </w:rPr>
        <w:t>6</w:t>
      </w:r>
      <w:r>
        <w:rPr>
          <w:rFonts w:cs="Arial" w:ascii="Arial" w:hAnsi="Arial"/>
          <w:b w:val="false"/>
          <w:bCs w:val="false"/>
          <w:sz w:val="24"/>
          <w:szCs w:val="24"/>
        </w:rPr>
        <w:t>.</w:t>
      </w:r>
      <w:r>
        <w:rPr>
          <w:rFonts w:cs="Arial" w:ascii="Arial" w:hAnsi="Arial"/>
          <w:b w:val="false"/>
          <w:bCs w:val="false"/>
          <w:sz w:val="24"/>
          <w:szCs w:val="24"/>
          <w:lang w:val="pt-BR"/>
        </w:rPr>
        <w:t>6</w:t>
      </w:r>
      <w:r>
        <w:rPr>
          <w:rFonts w:cs="Arial" w:ascii="Arial" w:hAnsi="Arial"/>
          <w:b w:val="false"/>
          <w:bCs w:val="false"/>
          <w:sz w:val="24"/>
          <w:szCs w:val="24"/>
        </w:rPr>
        <w:t xml:space="preserve"> O recebimento definitivo não isenta a CONTRATADA de responsabilidades futuras quanto à qualidade dos fornecimentos e serviços prestados.</w:t>
      </w:r>
    </w:p>
    <w:p>
      <w:pPr>
        <w:pStyle w:val="Normal"/>
        <w:spacing w:lineRule="auto" w:line="276" w:before="57" w:after="57"/>
        <w:ind w:hanging="0" w:left="0" w:right="0"/>
        <w:jc w:val="both"/>
        <w:rPr/>
      </w:pPr>
      <w:r>
        <w:rPr>
          <w:rFonts w:cs="Arial" w:ascii="Arial" w:hAnsi="Arial"/>
          <w:b w:val="false"/>
          <w:bCs w:val="false"/>
          <w:sz w:val="24"/>
          <w:szCs w:val="24"/>
          <w:lang w:val="pt-BR"/>
        </w:rPr>
        <w:t>6</w:t>
      </w:r>
      <w:r>
        <w:rPr>
          <w:rFonts w:cs="Arial" w:ascii="Arial" w:hAnsi="Arial"/>
          <w:b w:val="false"/>
          <w:bCs w:val="false"/>
          <w:sz w:val="24"/>
          <w:szCs w:val="24"/>
        </w:rPr>
        <w:t>.</w:t>
      </w:r>
      <w:r>
        <w:rPr>
          <w:rFonts w:cs="Arial" w:ascii="Arial" w:hAnsi="Arial"/>
          <w:b w:val="false"/>
          <w:bCs w:val="false"/>
          <w:sz w:val="24"/>
          <w:szCs w:val="24"/>
          <w:lang w:val="pt-BR"/>
        </w:rPr>
        <w:t>7</w:t>
      </w:r>
      <w:r>
        <w:rPr>
          <w:rFonts w:cs="Arial" w:ascii="Arial" w:hAnsi="Arial"/>
          <w:b w:val="false"/>
          <w:bCs w:val="false"/>
          <w:sz w:val="24"/>
          <w:szCs w:val="24"/>
        </w:rPr>
        <w:t xml:space="preserve"> O recebimento provisório dos produtos não implica em aceitação dos mesmos;</w:t>
      </w:r>
    </w:p>
    <w:p>
      <w:pPr>
        <w:pStyle w:val="Normal"/>
        <w:spacing w:lineRule="auto" w:line="276" w:before="57" w:after="57"/>
        <w:ind w:hanging="0" w:left="0" w:right="0"/>
        <w:jc w:val="both"/>
        <w:rPr/>
      </w:pPr>
      <w:r>
        <w:rPr>
          <w:rFonts w:cs="Arial" w:ascii="Arial" w:hAnsi="Arial"/>
          <w:b w:val="false"/>
          <w:bCs w:val="false"/>
          <w:sz w:val="24"/>
          <w:szCs w:val="24"/>
          <w:lang w:val="pt-BR"/>
        </w:rPr>
        <w:t>6</w:t>
      </w:r>
      <w:r>
        <w:rPr>
          <w:rFonts w:cs="Arial" w:ascii="Arial" w:hAnsi="Arial"/>
          <w:b w:val="false"/>
          <w:bCs w:val="false"/>
          <w:sz w:val="24"/>
          <w:szCs w:val="24"/>
        </w:rPr>
        <w:t>.</w:t>
      </w:r>
      <w:r>
        <w:rPr>
          <w:rFonts w:cs="Arial" w:ascii="Arial" w:hAnsi="Arial"/>
          <w:b w:val="false"/>
          <w:bCs w:val="false"/>
          <w:sz w:val="24"/>
          <w:szCs w:val="24"/>
          <w:lang w:val="pt-BR"/>
        </w:rPr>
        <w:t>8</w:t>
      </w:r>
      <w:r>
        <w:rPr>
          <w:rFonts w:cs="Arial" w:ascii="Arial" w:hAnsi="Arial"/>
          <w:b w:val="false"/>
          <w:bCs w:val="false"/>
          <w:sz w:val="24"/>
          <w:szCs w:val="24"/>
        </w:rPr>
        <w:t xml:space="preserve"> Os </w:t>
      </w:r>
      <w:r>
        <w:rPr>
          <w:rFonts w:cs="Arial" w:ascii="Arial" w:hAnsi="Arial"/>
          <w:b w:val="false"/>
          <w:bCs w:val="false"/>
          <w:sz w:val="24"/>
          <w:szCs w:val="24"/>
          <w:lang w:val="pt-BR"/>
        </w:rPr>
        <w:t>equipamentos</w:t>
      </w:r>
      <w:r>
        <w:rPr>
          <w:rFonts w:cs="Arial" w:ascii="Arial" w:hAnsi="Arial"/>
          <w:b w:val="false"/>
          <w:bCs w:val="false"/>
          <w:sz w:val="24"/>
          <w:szCs w:val="24"/>
        </w:rPr>
        <w:t xml:space="preserve"> que não estiverem de acordo com as especificações exigidas, apresentem vicio de qualidade ou impropriedade para o uso, serão recusad</w:t>
      </w:r>
      <w:r>
        <w:rPr>
          <w:rFonts w:cs="Arial" w:ascii="Arial" w:hAnsi="Arial"/>
          <w:b w:val="false"/>
          <w:bCs w:val="false"/>
          <w:sz w:val="24"/>
          <w:szCs w:val="24"/>
          <w:lang w:val="pt-BR"/>
        </w:rPr>
        <w:t>o</w:t>
      </w:r>
      <w:r>
        <w:rPr>
          <w:rFonts w:cs="Arial" w:ascii="Arial" w:hAnsi="Arial"/>
          <w:b w:val="false"/>
          <w:bCs w:val="false"/>
          <w:sz w:val="24"/>
          <w:szCs w:val="24"/>
        </w:rPr>
        <w:t>s e devolvid</w:t>
      </w:r>
      <w:r>
        <w:rPr>
          <w:rFonts w:cs="Arial" w:ascii="Arial" w:hAnsi="Arial"/>
          <w:b w:val="false"/>
          <w:bCs w:val="false"/>
          <w:sz w:val="24"/>
          <w:szCs w:val="24"/>
          <w:lang w:val="pt-BR"/>
        </w:rPr>
        <w:t>o</w:t>
      </w:r>
      <w:r>
        <w:rPr>
          <w:rFonts w:cs="Arial" w:ascii="Arial" w:hAnsi="Arial"/>
          <w:b w:val="false"/>
          <w:bCs w:val="false"/>
          <w:sz w:val="24"/>
          <w:szCs w:val="24"/>
        </w:rPr>
        <w:t xml:space="preserve">s parcial ou totalmente, conforme caso, ficando a CONTRATADA, obrigada a substitui-los no prazo de 5 (cinco) dias </w:t>
      </w:r>
      <w:r>
        <w:rPr>
          <w:rFonts w:cs="Arial" w:ascii="Arial" w:hAnsi="Arial"/>
          <w:b w:val="false"/>
          <w:bCs w:val="false"/>
          <w:sz w:val="24"/>
          <w:szCs w:val="24"/>
          <w:lang w:val="pt-BR"/>
        </w:rPr>
        <w:t>úteis</w:t>
      </w:r>
      <w:r>
        <w:rPr>
          <w:rFonts w:cs="Arial" w:ascii="Arial" w:hAnsi="Arial"/>
          <w:b w:val="false"/>
          <w:bCs w:val="false"/>
          <w:sz w:val="24"/>
          <w:szCs w:val="24"/>
        </w:rPr>
        <w:t>, contadas do recebimento da notificação escrita, sob pena de incorrer em atraso quanto ao prazo de execução;</w:t>
      </w:r>
    </w:p>
    <w:p>
      <w:pPr>
        <w:pStyle w:val="Normal"/>
        <w:spacing w:lineRule="auto" w:line="276" w:before="57" w:after="57"/>
        <w:ind w:hanging="0" w:left="0" w:right="0"/>
        <w:jc w:val="both"/>
        <w:rPr/>
      </w:pPr>
      <w:r>
        <w:rPr>
          <w:rFonts w:cs="Arial" w:ascii="Arial" w:hAnsi="Arial"/>
          <w:b w:val="false"/>
          <w:bCs w:val="false"/>
          <w:i w:val="false"/>
          <w:iCs w:val="false"/>
          <w:color w:val="000000"/>
          <w:sz w:val="24"/>
          <w:szCs w:val="24"/>
          <w:lang w:val="pt-BR"/>
        </w:rPr>
        <w:t>6</w:t>
      </w:r>
      <w:r>
        <w:rPr>
          <w:rFonts w:cs="Arial" w:ascii="Arial" w:hAnsi="Arial"/>
          <w:b w:val="false"/>
          <w:bCs w:val="false"/>
          <w:i w:val="false"/>
          <w:iCs w:val="false"/>
          <w:color w:val="000000"/>
          <w:sz w:val="24"/>
          <w:szCs w:val="24"/>
        </w:rPr>
        <w:t>.</w:t>
      </w:r>
      <w:r>
        <w:rPr>
          <w:rFonts w:cs="Arial" w:ascii="Arial" w:hAnsi="Arial"/>
          <w:b w:val="false"/>
          <w:bCs w:val="false"/>
          <w:i w:val="false"/>
          <w:iCs w:val="false"/>
          <w:color w:val="000000"/>
          <w:sz w:val="24"/>
          <w:szCs w:val="24"/>
          <w:lang w:val="pt-BR"/>
        </w:rPr>
        <w:t>9</w:t>
      </w:r>
      <w:r>
        <w:rPr>
          <w:rFonts w:cs="Arial" w:ascii="Arial" w:hAnsi="Arial"/>
          <w:b w:val="false"/>
          <w:bCs w:val="false"/>
          <w:i w:val="false"/>
          <w:iCs w:val="false"/>
          <w:color w:val="000000"/>
          <w:sz w:val="24"/>
          <w:szCs w:val="24"/>
        </w:rPr>
        <w:t xml:space="preserve"> Havendo erro na Nota Fiscal ou outra circunstância impeditiva, o recebimento definitivo será suspenso, até que a empresa tome as medidas saneadoras necessárias;</w:t>
      </w:r>
    </w:p>
    <w:p>
      <w:pPr>
        <w:pStyle w:val="Normal"/>
        <w:spacing w:lineRule="auto" w:line="276" w:before="57" w:after="57"/>
        <w:ind w:hanging="0" w:left="0" w:right="0"/>
        <w:rPr/>
      </w:pPr>
      <w:r>
        <w:rPr>
          <w:rFonts w:ascii="Arial" w:hAnsi="Arial"/>
          <w:b w:val="false"/>
          <w:bCs w:val="false"/>
        </w:rPr>
        <w:t>6.10</w:t>
      </w:r>
      <w:r>
        <w:rPr>
          <w:rFonts w:ascii="Arial" w:hAnsi="Arial"/>
          <w:b/>
          <w:bCs/>
        </w:rPr>
        <w:t xml:space="preserve"> </w:t>
      </w:r>
      <w:r>
        <w:rPr>
          <w:rFonts w:ascii="Arial" w:hAnsi="Arial"/>
        </w:rPr>
        <w:t xml:space="preserve"> </w:t>
      </w:r>
      <w:r>
        <w:rPr>
          <w:rFonts w:ascii="Arial" w:hAnsi="Arial"/>
          <w:b/>
          <w:bCs/>
        </w:rPr>
        <w:t>CONTATO</w:t>
      </w:r>
    </w:p>
    <w:p>
      <w:pPr>
        <w:pStyle w:val="Normal"/>
        <w:spacing w:lineRule="auto" w:line="276" w:before="57" w:after="57"/>
        <w:ind w:hanging="0" w:left="0" w:right="0"/>
        <w:rPr/>
      </w:pPr>
      <w:r>
        <w:rPr>
          <w:rFonts w:ascii="Arial" w:hAnsi="Arial"/>
          <w:b/>
        </w:rPr>
        <w:t xml:space="preserve">Tel: </w:t>
      </w:r>
      <w:r>
        <w:rPr>
          <w:rFonts w:ascii="Arial" w:hAnsi="Arial"/>
        </w:rPr>
        <w:t>27 3727-3993</w:t>
      </w:r>
    </w:p>
    <w:p>
      <w:pPr>
        <w:pStyle w:val="Normal"/>
        <w:spacing w:lineRule="auto" w:line="276" w:before="57" w:after="57"/>
        <w:ind w:hanging="0" w:left="0" w:right="0"/>
        <w:rPr/>
      </w:pPr>
      <w:r>
        <w:rPr>
          <w:rFonts w:ascii="Arial" w:hAnsi="Arial"/>
          <w:b/>
        </w:rPr>
        <w:t xml:space="preserve">Email: </w:t>
      </w:r>
      <w:r>
        <w:rPr>
          <w:rFonts w:ascii="Arial" w:hAnsi="Arial"/>
          <w:bCs/>
        </w:rPr>
        <w:t>financeiro</w:t>
      </w:r>
      <w:r>
        <w:rPr>
          <w:rFonts w:ascii="Arial" w:hAnsi="Arial"/>
        </w:rPr>
        <w:t>semecsgp@gmail.com</w:t>
      </w:r>
    </w:p>
    <w:p>
      <w:pPr>
        <w:pStyle w:val="Normal"/>
        <w:spacing w:lineRule="auto" w:line="276" w:before="57" w:after="57"/>
        <w:ind w:hanging="0" w:left="0" w:right="0"/>
        <w:jc w:val="both"/>
        <w:rPr/>
      </w:pPr>
      <w:r>
        <w:rPr>
          <w:rFonts w:cs="Arial" w:ascii="Arial" w:hAnsi="Arial"/>
          <w:b/>
          <w:bCs w:val="false"/>
          <w:i w:val="false"/>
          <w:iCs w:val="false"/>
          <w:color w:val="000000"/>
          <w:sz w:val="24"/>
          <w:szCs w:val="24"/>
        </w:rPr>
        <w:t xml:space="preserve">Responsável: </w:t>
      </w:r>
      <w:r>
        <w:rPr>
          <w:rFonts w:cs="Arial" w:ascii="Arial" w:hAnsi="Arial"/>
          <w:b w:val="false"/>
          <w:bCs w:val="false"/>
          <w:i w:val="false"/>
          <w:iCs w:val="false"/>
          <w:color w:val="000000"/>
          <w:sz w:val="24"/>
          <w:szCs w:val="24"/>
        </w:rPr>
        <w:t>Secretaria Municipal de Educação</w:t>
      </w:r>
    </w:p>
    <w:p>
      <w:pPr>
        <w:pStyle w:val="Normal"/>
        <w:spacing w:lineRule="auto" w:line="276" w:before="57" w:after="57"/>
        <w:ind w:hanging="0" w:left="0" w:right="0"/>
        <w:jc w:val="both"/>
        <w:rPr>
          <w:rFonts w:ascii="Arial" w:hAnsi="Arial" w:cs="Arial"/>
          <w:b/>
          <w:u w:val="single"/>
        </w:rPr>
      </w:pPr>
      <w:r>
        <w:rPr>
          <w:rFonts w:cs="Arial" w:ascii="Arial" w:hAnsi="Arial"/>
          <w:b/>
          <w:u w:val="single"/>
        </w:rPr>
      </w:r>
    </w:p>
    <w:p>
      <w:pPr>
        <w:pStyle w:val="Normal"/>
        <w:spacing w:lineRule="auto" w:line="276" w:before="57" w:after="57"/>
        <w:ind w:hanging="0" w:left="0" w:right="0"/>
        <w:jc w:val="both"/>
        <w:rPr>
          <w:rFonts w:ascii="Arial" w:hAnsi="Arial" w:cs="Arial"/>
          <w:b/>
          <w:bCs/>
          <w:i w:val="false"/>
          <w:i w:val="false"/>
          <w:iCs w:val="false"/>
          <w:color w:val="000000"/>
        </w:rPr>
      </w:pPr>
      <w:r>
        <w:rPr>
          <w:rFonts w:cs="Arial" w:ascii="Arial" w:hAnsi="Arial"/>
          <w:b/>
          <w:bCs/>
          <w:i w:val="false"/>
          <w:iCs w:val="false"/>
          <w:color w:val="000000"/>
        </w:rPr>
        <w:t>7. OBRIGAÇÕES DA CONTRATANTE</w:t>
      </w:r>
    </w:p>
    <w:p>
      <w:pPr>
        <w:pStyle w:val="Normal"/>
        <w:spacing w:lineRule="auto" w:line="276" w:before="57" w:after="57"/>
        <w:ind w:hanging="0" w:left="0" w:right="0"/>
        <w:jc w:val="both"/>
        <w:rPr/>
      </w:pPr>
      <w:r>
        <w:rPr>
          <w:rFonts w:eastAsia="Times New Roman" w:cs="Arial" w:ascii="Arial" w:hAnsi="Arial"/>
          <w:b w:val="false"/>
          <w:bCs w:val="false"/>
          <w:i w:val="false"/>
          <w:iCs w:val="false"/>
          <w:color w:val="000000"/>
        </w:rPr>
        <w:t>7.1.</w:t>
      </w:r>
      <w:r>
        <w:rPr>
          <w:rFonts w:cs="Arial" w:ascii="Arial" w:hAnsi="Arial"/>
          <w:b w:val="false"/>
          <w:bCs w:val="false"/>
          <w:i w:val="false"/>
          <w:iCs w:val="false"/>
          <w:color w:val="000000"/>
        </w:rPr>
        <w:t xml:space="preserve"> Receber os equipamentos no prazo e condições estabelecidas neste Termo de Referência e seus anexos.</w:t>
      </w:r>
    </w:p>
    <w:p>
      <w:pPr>
        <w:pStyle w:val="Normal"/>
        <w:spacing w:lineRule="auto" w:line="276" w:before="57" w:after="57"/>
        <w:ind w:hanging="0" w:left="0" w:right="0"/>
        <w:jc w:val="both"/>
        <w:rPr/>
      </w:pPr>
      <w:r>
        <w:rPr>
          <w:rFonts w:cs="Arial" w:ascii="Arial" w:hAnsi="Arial"/>
          <w:b w:val="false"/>
          <w:bCs w:val="false"/>
          <w:i w:val="false"/>
          <w:iCs w:val="false"/>
          <w:color w:val="000000"/>
        </w:rPr>
        <w:t xml:space="preserve">7.2. </w:t>
      </w:r>
      <w:bookmarkStart w:id="4" w:name="page68R_mcid7"/>
      <w:r>
        <w:rPr>
          <w:rFonts w:cs="Arial" w:ascii="Arial" w:hAnsi="Arial"/>
          <w:b w:val="false"/>
          <w:bCs w:val="false"/>
          <w:i w:val="false"/>
          <w:iCs w:val="false"/>
          <w:color w:val="000000"/>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76" w:before="57" w:after="57"/>
        <w:ind w:hanging="0" w:left="0" w:right="0"/>
        <w:jc w:val="both"/>
        <w:rPr>
          <w:rFonts w:ascii="Arial" w:hAnsi="Arial" w:cs="Arial"/>
          <w:b w:val="false"/>
          <w:bCs w:val="false"/>
          <w:i w:val="false"/>
          <w:i w:val="false"/>
          <w:iCs w:val="false"/>
          <w:color w:val="000000"/>
        </w:rPr>
      </w:pPr>
      <w:r>
        <w:rPr>
          <w:rFonts w:cs="Arial" w:ascii="Arial" w:hAnsi="Arial"/>
          <w:b w:val="false"/>
          <w:bCs w:val="false"/>
          <w:i w:val="false"/>
          <w:iCs w:val="false"/>
          <w:color w:val="000000"/>
        </w:rPr>
        <w:t>7.3. Comunicar à Contratada, por escrito, sobre imperfeições, falhas ou irregularidades verificadas no objeto fornecido, para que seja substituído, reparado ou corrigido.</w:t>
      </w:r>
    </w:p>
    <w:p>
      <w:pPr>
        <w:pStyle w:val="Normal"/>
        <w:spacing w:lineRule="auto" w:line="276" w:before="57" w:after="57"/>
        <w:ind w:hanging="0" w:left="0" w:right="0"/>
        <w:jc w:val="both"/>
        <w:rPr>
          <w:rFonts w:ascii="Arial" w:hAnsi="Arial" w:cs="Arial"/>
          <w:b w:val="false"/>
          <w:bCs w:val="false"/>
          <w:i w:val="false"/>
          <w:i w:val="false"/>
          <w:iCs w:val="false"/>
          <w:color w:val="000000"/>
        </w:rPr>
      </w:pPr>
      <w:r>
        <w:rPr>
          <w:rFonts w:cs="Arial" w:ascii="Arial" w:hAnsi="Arial"/>
          <w:b w:val="false"/>
          <w:bCs w:val="false"/>
          <w:i w:val="false"/>
          <w:iCs w:val="false"/>
          <w:color w:val="000000"/>
        </w:rPr>
        <w:t>7.4. Acompanhar e fiscalizar o cumprimento das obrigações da Contratada, através de comissão/servidor especialmente designado.</w:t>
      </w:r>
    </w:p>
    <w:p>
      <w:pPr>
        <w:pStyle w:val="Normal"/>
        <w:spacing w:lineRule="auto" w:line="276" w:before="57" w:after="57"/>
        <w:ind w:hanging="0" w:left="0" w:right="0"/>
        <w:jc w:val="both"/>
        <w:rPr>
          <w:rFonts w:ascii="Arial" w:hAnsi="Arial" w:cs="Arial"/>
          <w:b w:val="false"/>
          <w:bCs w:val="false"/>
          <w:i w:val="false"/>
          <w:i w:val="false"/>
          <w:iCs w:val="false"/>
          <w:color w:val="000000"/>
        </w:rPr>
      </w:pPr>
      <w:r>
        <w:rPr>
          <w:rFonts w:cs="Arial" w:ascii="Arial" w:hAnsi="Arial"/>
          <w:b w:val="false"/>
          <w:bCs w:val="false"/>
          <w:i w:val="false"/>
          <w:iCs w:val="false"/>
          <w:color w:val="000000"/>
        </w:rPr>
        <w:t>7.5. Efetuar o pagamento à Contratada no valor correspondente ao fornecimento dos objetos, no prazo e forma estabelecidos neste TR e seus anexos.</w:t>
      </w:r>
    </w:p>
    <w:p>
      <w:pPr>
        <w:pStyle w:val="Normal"/>
        <w:spacing w:lineRule="auto" w:line="276" w:before="57" w:after="57"/>
        <w:ind w:hanging="0" w:left="0" w:right="0"/>
        <w:jc w:val="both"/>
        <w:rPr/>
      </w:pPr>
      <w:r>
        <w:rPr>
          <w:rFonts w:eastAsia="Times New Roman" w:cs="Arial" w:ascii="Arial" w:hAnsi="Arial"/>
          <w:b w:val="false"/>
          <w:bCs w:val="false"/>
          <w:i w:val="false"/>
          <w:iCs w:val="false"/>
          <w:color w:val="000000"/>
        </w:rPr>
        <w:t xml:space="preserve">7.6. </w:t>
      </w:r>
      <w:r>
        <w:rPr>
          <w:rFonts w:cs="Arial" w:ascii="Arial" w:hAnsi="Arial"/>
          <w:b w:val="false"/>
          <w:bCs w:val="false"/>
          <w:i w:val="false"/>
          <w:iCs w:val="false"/>
          <w:color w:val="000000"/>
        </w:rPr>
        <w:t xml:space="preserve">A Administração não responderá por quaisquer compromissos assumidos pela Contratada com terceiros, ainda que vinculados à execução da presente </w:t>
      </w:r>
      <w:r>
        <w:rPr>
          <w:rFonts w:eastAsia="Times New Roman" w:cs="Arial" w:ascii="Arial" w:hAnsi="Arial"/>
          <w:b w:val="false"/>
          <w:bCs w:val="false"/>
          <w:i w:val="false"/>
          <w:iCs w:val="false"/>
          <w:color w:val="000000"/>
        </w:rPr>
        <w:t>Ata de Registro de Preços</w:t>
      </w:r>
      <w:r>
        <w:rPr>
          <w:rFonts w:cs="Arial" w:ascii="Arial" w:hAnsi="Arial"/>
          <w:b w:val="false"/>
          <w:bCs w:val="false"/>
          <w:i w:val="false"/>
          <w:iCs w:val="false"/>
          <w:color w:val="000000"/>
        </w:rPr>
        <w:t>, bem como por qualquer dano causado a terceiros em decorrência de ato da Contratada, de seus empregados, prepostos ou subordinados.</w:t>
      </w:r>
    </w:p>
    <w:p>
      <w:pPr>
        <w:pStyle w:val="Normal"/>
        <w:spacing w:lineRule="auto" w:line="276" w:before="57" w:after="57"/>
        <w:ind w:hanging="0" w:left="0" w:right="0"/>
        <w:jc w:val="both"/>
        <w:rPr/>
      </w:pPr>
      <w:r>
        <w:rPr/>
      </w:r>
    </w:p>
    <w:p>
      <w:pPr>
        <w:pStyle w:val="Normal"/>
        <w:spacing w:lineRule="auto" w:line="276" w:before="57" w:after="57"/>
        <w:ind w:hanging="0" w:left="0" w:right="0"/>
        <w:jc w:val="both"/>
        <w:rPr>
          <w:rFonts w:ascii="Arial" w:hAnsi="Arial" w:cs="Arial"/>
          <w:b/>
          <w:bCs/>
          <w:i w:val="false"/>
          <w:i w:val="false"/>
          <w:iCs w:val="false"/>
          <w:color w:val="000000"/>
        </w:rPr>
      </w:pPr>
      <w:r>
        <w:rPr>
          <w:rFonts w:cs="Arial" w:ascii="Arial" w:hAnsi="Arial"/>
          <w:b/>
          <w:bCs/>
          <w:i w:val="false"/>
          <w:iCs w:val="false"/>
          <w:color w:val="000000"/>
        </w:rPr>
        <w:t>8. OBRIGAÇÕES DA CONTRATADA</w:t>
      </w:r>
    </w:p>
    <w:p>
      <w:pPr>
        <w:pStyle w:val="Normal"/>
        <w:spacing w:lineRule="auto" w:line="276" w:before="57" w:after="57"/>
        <w:ind w:hanging="0" w:left="0" w:right="0"/>
        <w:jc w:val="both"/>
        <w:rPr>
          <w:rFonts w:ascii="Arial" w:hAnsi="Arial" w:cs="Arial"/>
          <w:b w:val="false"/>
          <w:bCs w:val="false"/>
          <w:i w:val="false"/>
          <w:i w:val="false"/>
          <w:iCs w:val="false"/>
          <w:color w:val="000000"/>
        </w:rPr>
      </w:pPr>
      <w:r>
        <w:rPr>
          <w:rFonts w:cs="Arial" w:ascii="Arial" w:hAnsi="Arial"/>
          <w:b w:val="false"/>
          <w:bCs w:val="false"/>
          <w:i w:val="false"/>
          <w:iCs w:val="false"/>
          <w:color w:val="000000"/>
        </w:rPr>
        <w:t>8.1. A Contratada deve cumprir todas as obrigações constantes neste TR, seus anexos e sua proposta, assumindo como exclusivamente seus os riscos e as despesas decorrentes da boa e perfeita execução do objeto.</w:t>
      </w:r>
      <w:bookmarkStart w:id="5" w:name="page68R_mcid171"/>
    </w:p>
    <w:p>
      <w:pPr>
        <w:pStyle w:val="Normal"/>
        <w:spacing w:lineRule="auto" w:line="276" w:before="57" w:after="57"/>
        <w:ind w:hanging="0" w:left="0" w:right="0"/>
        <w:jc w:val="both"/>
        <w:rPr>
          <w:rFonts w:ascii="Arial" w:hAnsi="Arial" w:cs="Arial"/>
          <w:b w:val="false"/>
          <w:bCs w:val="false"/>
          <w:i w:val="false"/>
          <w:i w:val="false"/>
          <w:iCs w:val="false"/>
          <w:color w:val="000000"/>
        </w:rPr>
      </w:pPr>
      <w:r>
        <w:rPr>
          <w:rFonts w:cs="Arial" w:ascii="Arial" w:hAnsi="Arial"/>
          <w:b w:val="false"/>
          <w:bCs w:val="false"/>
          <w:i w:val="false"/>
          <w:iCs w:val="false"/>
          <w:color w:val="000000"/>
        </w:rPr>
        <w:t>8.2.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76" w:before="57" w:after="57"/>
        <w:ind w:hanging="0" w:left="0" w:right="0"/>
        <w:jc w:val="both"/>
        <w:rPr>
          <w:rFonts w:ascii="Arial" w:hAnsi="Arial" w:cs="Arial"/>
          <w:b w:val="false"/>
          <w:bCs w:val="false"/>
          <w:i w:val="false"/>
          <w:i w:val="false"/>
          <w:iCs w:val="false"/>
          <w:color w:val="000000"/>
        </w:rPr>
      </w:pPr>
      <w:r>
        <w:rPr>
          <w:rFonts w:cs="Arial" w:ascii="Arial" w:hAnsi="Arial"/>
          <w:b w:val="false"/>
          <w:bCs w:val="false"/>
          <w:i w:val="false"/>
          <w:iCs w:val="false"/>
          <w:color w:val="000000"/>
        </w:rPr>
        <w:t>8.3. Responsabilizar-se pelos vícios e danos decorrentes do objeto, de acordo com os artigos 12, 13 e 17 a 27, do Código de Defesa do Consumidor (Lei nº 8.078, de 1990).</w:t>
      </w:r>
    </w:p>
    <w:p>
      <w:pPr>
        <w:pStyle w:val="Normal"/>
        <w:spacing w:lineRule="auto" w:line="276" w:before="57" w:after="57"/>
        <w:ind w:hanging="0" w:left="0" w:right="0"/>
        <w:jc w:val="both"/>
        <w:rPr>
          <w:rFonts w:ascii="Arial" w:hAnsi="Arial" w:cs="Arial"/>
          <w:b w:val="false"/>
          <w:bCs w:val="false"/>
          <w:i w:val="false"/>
          <w:i w:val="false"/>
          <w:iCs w:val="false"/>
          <w:color w:val="000000"/>
        </w:rPr>
      </w:pPr>
      <w:r>
        <w:rPr>
          <w:rFonts w:cs="Arial" w:ascii="Arial" w:hAnsi="Arial"/>
          <w:b w:val="false"/>
          <w:bCs w:val="false"/>
          <w:i w:val="false"/>
          <w:iCs w:val="false"/>
          <w:color w:val="000000"/>
        </w:rPr>
        <w:t>8.4. Substituir, reparar ou corrigir, às suas expensas, no prazo fixado neste Termo de Referência, o objeto com avarias ou defeitos.</w:t>
      </w:r>
    </w:p>
    <w:p>
      <w:pPr>
        <w:pStyle w:val="Normal"/>
        <w:spacing w:lineRule="auto" w:line="276" w:before="57" w:after="57"/>
        <w:ind w:hanging="0" w:left="0" w:right="0"/>
        <w:jc w:val="both"/>
        <w:rPr/>
      </w:pPr>
      <w:r>
        <w:rPr>
          <w:rFonts w:eastAsia="Times New Roman" w:cs="Arial" w:ascii="Arial" w:hAnsi="Arial"/>
          <w:b w:val="false"/>
          <w:bCs w:val="false"/>
          <w:i w:val="false"/>
          <w:iCs w:val="false"/>
          <w:color w:val="000000"/>
        </w:rPr>
        <w:t xml:space="preserve">8.5. </w:t>
      </w:r>
      <w:r>
        <w:rPr>
          <w:rFonts w:cs="Arial" w:ascii="Arial" w:hAnsi="Arial"/>
          <w:b w:val="false"/>
          <w:bCs w:val="false"/>
          <w:i w:val="false"/>
          <w:iCs w:val="false"/>
          <w:color w:val="000000"/>
        </w:rPr>
        <w:t>Comunicar à Contratante, no prazo máximo de 72 (setenta e duas) horas que antecede a data da entrega, os motivos que impossibilitem o cumprimento do prazo previsto, com a devida comprovação.</w:t>
      </w:r>
    </w:p>
    <w:p>
      <w:pPr>
        <w:pStyle w:val="Normal"/>
        <w:spacing w:lineRule="auto" w:line="276" w:before="57" w:after="57"/>
        <w:ind w:hanging="0" w:left="0" w:right="0"/>
        <w:jc w:val="both"/>
        <w:rPr/>
      </w:pPr>
      <w:r>
        <w:rPr>
          <w:rFonts w:eastAsia="Times New Roman" w:cs="Arial" w:ascii="Arial" w:hAnsi="Arial"/>
          <w:b w:val="false"/>
          <w:bCs w:val="false"/>
          <w:i w:val="false"/>
          <w:iCs w:val="false"/>
          <w:color w:val="000000"/>
        </w:rPr>
        <w:t xml:space="preserve">8.6. </w:t>
      </w:r>
      <w:r>
        <w:rPr>
          <w:rFonts w:cs="Arial" w:ascii="Arial" w:hAnsi="Arial"/>
          <w:b w:val="false"/>
          <w:bCs w:val="false"/>
          <w:i w:val="false"/>
          <w:iCs w:val="false"/>
          <w:color w:val="000000"/>
        </w:rPr>
        <w:t>Manter, durante toda a execução d</w:t>
      </w:r>
      <w:r>
        <w:rPr>
          <w:rFonts w:eastAsia="Times New Roman" w:cs="Arial" w:ascii="Arial" w:hAnsi="Arial"/>
          <w:b w:val="false"/>
          <w:bCs w:val="false"/>
          <w:i w:val="false"/>
          <w:iCs w:val="false"/>
          <w:color w:val="000000"/>
        </w:rPr>
        <w:t>a ata de registro de preços</w:t>
      </w:r>
      <w:r>
        <w:rPr>
          <w:rFonts w:cs="Arial" w:ascii="Arial" w:hAnsi="Arial"/>
          <w:b w:val="false"/>
          <w:bCs w:val="false"/>
          <w:i w:val="false"/>
          <w:iCs w:val="false"/>
          <w:color w:val="000000"/>
        </w:rPr>
        <w:t>, em compatibilidade com as obrigações assumidas, todas as condições de habilitação e qualificação exigidas na licitação.</w:t>
      </w:r>
    </w:p>
    <w:p>
      <w:pPr>
        <w:pStyle w:val="Normal"/>
        <w:tabs>
          <w:tab w:val="clear" w:pos="708"/>
          <w:tab w:val="left" w:pos="0" w:leader="none"/>
        </w:tabs>
        <w:spacing w:lineRule="auto" w:line="276" w:before="57" w:after="57"/>
        <w:ind w:hanging="0" w:left="0" w:right="0"/>
        <w:jc w:val="both"/>
        <w:rPr/>
      </w:pPr>
      <w:r>
        <w:rPr>
          <w:rFonts w:eastAsia="Times New Roman" w:cs="Arial" w:ascii="Arial" w:hAnsi="Arial"/>
          <w:b w:val="false"/>
          <w:bCs w:val="false"/>
          <w:i w:val="false"/>
          <w:iCs w:val="false"/>
          <w:color w:val="000000"/>
        </w:rPr>
        <w:t xml:space="preserve">8.7. </w:t>
      </w:r>
      <w:r>
        <w:rPr>
          <w:rFonts w:cs="Arial" w:ascii="Arial" w:hAnsi="Arial"/>
          <w:b w:val="false"/>
          <w:bCs w:val="false"/>
          <w:i w:val="false"/>
          <w:iCs w:val="false"/>
          <w:color w:val="000000"/>
        </w:rPr>
        <w:t>Indicar preposto para representá-la durante a execução Da ata de registro de preços.</w:t>
      </w:r>
    </w:p>
    <w:p>
      <w:pPr>
        <w:pStyle w:val="Normal"/>
        <w:tabs>
          <w:tab w:val="clear" w:pos="708"/>
          <w:tab w:val="left" w:pos="0" w:leader="none"/>
        </w:tabs>
        <w:spacing w:lineRule="auto" w:line="276" w:before="57" w:after="57"/>
        <w:ind w:hanging="0" w:left="0" w:right="0"/>
        <w:jc w:val="both"/>
        <w:rPr/>
      </w:pPr>
      <w:r>
        <w:rPr>
          <w:rFonts w:eastAsia="Times New Roman" w:cs="Arial" w:ascii="Arial" w:hAnsi="Arial"/>
          <w:b w:val="false"/>
          <w:bCs w:val="false"/>
          <w:i w:val="false"/>
          <w:iCs w:val="false"/>
          <w:color w:val="000000"/>
        </w:rPr>
        <w:t xml:space="preserve">8.8. </w:t>
      </w:r>
      <w:r>
        <w:rPr>
          <w:rFonts w:cs="Arial" w:ascii="Arial" w:hAnsi="Arial"/>
          <w:b w:val="false"/>
          <w:bCs w:val="false"/>
          <w:i w:val="false"/>
          <w:iCs w:val="false"/>
          <w:color w:val="000000"/>
        </w:rPr>
        <w:t xml:space="preserve">A </w:t>
      </w:r>
      <w:r>
        <w:rPr>
          <w:rFonts w:eastAsia="Times New Roman" w:cs="Arial" w:ascii="Arial" w:hAnsi="Arial"/>
          <w:b w:val="false"/>
          <w:bCs w:val="false"/>
          <w:i w:val="false"/>
          <w:iCs w:val="false"/>
          <w:color w:val="000000"/>
          <w:szCs w:val="20"/>
        </w:rPr>
        <w:t>contratada</w:t>
      </w:r>
      <w:r>
        <w:rPr>
          <w:rFonts w:cs="Arial" w:ascii="Arial" w:hAnsi="Arial"/>
          <w:b w:val="false"/>
          <w:bCs w:val="false"/>
          <w:i w:val="false"/>
          <w:iCs w:val="false"/>
          <w:color w:val="000000"/>
        </w:rPr>
        <w:t xml:space="preserve">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76" w:before="57" w:after="57"/>
        <w:ind w:hanging="0" w:left="0" w:right="0"/>
        <w:jc w:val="both"/>
        <w:rPr/>
      </w:pPr>
      <w:r>
        <w:rPr>
          <w:rFonts w:cs="Arial" w:ascii="Arial" w:hAnsi="Arial"/>
          <w:b w:val="false"/>
          <w:bCs w:val="false"/>
          <w:i w:val="false"/>
          <w:iCs w:val="false"/>
          <w:color w:val="000000"/>
        </w:rPr>
        <w:t xml:space="preserve">8.9.Durante a execução da ata de registro de preços, a </w:t>
      </w:r>
      <w:r>
        <w:rPr>
          <w:rFonts w:eastAsia="Times New Roman" w:cs="Arial" w:ascii="Arial" w:hAnsi="Arial"/>
          <w:b w:val="false"/>
          <w:bCs w:val="false"/>
          <w:i w:val="false"/>
          <w:iCs w:val="false"/>
          <w:color w:val="000000"/>
          <w:szCs w:val="20"/>
        </w:rPr>
        <w:t>contratada</w:t>
      </w:r>
      <w:r>
        <w:rPr>
          <w:rFonts w:cs="Arial" w:ascii="Arial" w:hAnsi="Arial"/>
          <w:b w:val="false"/>
          <w:bCs w:val="false"/>
          <w:i w:val="false"/>
          <w:iCs w:val="false"/>
          <w:color w:val="000000"/>
        </w:rPr>
        <w:t xml:space="preserve"> deverá:</w:t>
      </w:r>
      <w:r>
        <w:rPr/>
        <w:br/>
      </w:r>
      <w:r>
        <w:rPr>
          <w:rFonts w:eastAsia="Times New Roman" w:cs="Arial" w:ascii="Arial" w:hAnsi="Arial"/>
          <w:b w:val="false"/>
          <w:bCs w:val="false"/>
          <w:i w:val="false"/>
          <w:iCs w:val="false"/>
          <w:color w:val="000000"/>
        </w:rPr>
        <w:t>8.9.1.</w:t>
      </w:r>
      <w:r>
        <w:rPr>
          <w:rFonts w:cs="Arial" w:ascii="Arial" w:hAnsi="Arial"/>
          <w:b w:val="false"/>
          <w:bCs w:val="false"/>
          <w:i w:val="false"/>
          <w:iCs w:val="false"/>
          <w:color w:val="000000"/>
        </w:rPr>
        <w:t xml:space="preserve"> Atender prontamente às solicitações </w:t>
      </w:r>
      <w:r>
        <w:rPr>
          <w:rFonts w:eastAsia="Times New Roman" w:cs="Arial" w:ascii="Arial" w:hAnsi="Arial"/>
          <w:b w:val="false"/>
          <w:bCs w:val="false"/>
          <w:i w:val="false"/>
          <w:iCs w:val="false"/>
          <w:color w:val="000000"/>
        </w:rPr>
        <w:t>d</w:t>
      </w:r>
      <w:r>
        <w:rPr>
          <w:rFonts w:eastAsia="Times New Roman" w:cs="Arial" w:ascii="Arial" w:hAnsi="Arial"/>
          <w:b w:val="false"/>
          <w:bCs w:val="false"/>
          <w:i w:val="false"/>
          <w:iCs w:val="false"/>
          <w:color w:val="000000"/>
          <w:szCs w:val="20"/>
        </w:rPr>
        <w:t>a secretaria e seus equipamentos</w:t>
      </w:r>
      <w:r>
        <w:rPr>
          <w:rFonts w:cs="Arial" w:ascii="Arial" w:hAnsi="Arial"/>
          <w:b w:val="false"/>
          <w:bCs w:val="false"/>
          <w:i w:val="false"/>
          <w:iCs w:val="false"/>
          <w:color w:val="000000"/>
        </w:rPr>
        <w:t>, no fornecimento d</w:t>
      </w:r>
      <w:r>
        <w:rPr>
          <w:rFonts w:eastAsia="Times New Roman" w:cs="Arial" w:ascii="Arial" w:hAnsi="Arial"/>
          <w:b w:val="false"/>
          <w:bCs w:val="false"/>
          <w:i w:val="false"/>
          <w:iCs w:val="false"/>
          <w:color w:val="000000"/>
          <w:szCs w:val="20"/>
        </w:rPr>
        <w:t>os objetos</w:t>
      </w:r>
      <w:r>
        <w:rPr>
          <w:rFonts w:cs="Arial" w:ascii="Arial" w:hAnsi="Arial"/>
          <w:b w:val="false"/>
          <w:bCs w:val="false"/>
          <w:i w:val="false"/>
          <w:iCs w:val="false"/>
          <w:color w:val="000000"/>
        </w:rPr>
        <w:t xml:space="preserve"> nas quantidades e especificações deste </w:t>
      </w:r>
      <w:r>
        <w:rPr>
          <w:rFonts w:eastAsia="Times New Roman" w:cs="Arial" w:ascii="Arial" w:hAnsi="Arial"/>
          <w:b w:val="false"/>
          <w:bCs w:val="false"/>
          <w:i w:val="false"/>
          <w:iCs w:val="false"/>
          <w:color w:val="000000"/>
          <w:szCs w:val="20"/>
        </w:rPr>
        <w:t>termo de referência.</w:t>
      </w:r>
    </w:p>
    <w:p>
      <w:pPr>
        <w:pStyle w:val="Normal"/>
        <w:tabs>
          <w:tab w:val="clear" w:pos="708"/>
          <w:tab w:val="left" w:pos="0" w:leader="none"/>
        </w:tabs>
        <w:spacing w:lineRule="auto" w:line="276" w:before="57" w:after="57"/>
        <w:ind w:hanging="0" w:left="0" w:right="0"/>
        <w:jc w:val="both"/>
        <w:rPr/>
      </w:pPr>
      <w:r>
        <w:rPr>
          <w:rFonts w:eastAsia="Times New Roman" w:cs="Arial" w:ascii="Arial" w:hAnsi="Arial"/>
          <w:b w:val="false"/>
          <w:bCs w:val="false"/>
          <w:i w:val="false"/>
          <w:iCs w:val="false"/>
          <w:color w:val="000000"/>
        </w:rPr>
        <w:t>8.9.</w:t>
      </w:r>
      <w:r>
        <w:rPr>
          <w:rFonts w:cs="Arial" w:ascii="Arial" w:hAnsi="Arial"/>
          <w:b w:val="false"/>
          <w:bCs w:val="false"/>
          <w:i w:val="false"/>
          <w:iCs w:val="false"/>
          <w:color w:val="000000"/>
        </w:rPr>
        <w:t xml:space="preserve">2. Entregar os </w:t>
      </w:r>
      <w:r>
        <w:rPr>
          <w:rFonts w:eastAsia="Times New Roman" w:cs="Arial" w:ascii="Arial" w:hAnsi="Arial"/>
          <w:b w:val="false"/>
          <w:bCs w:val="false"/>
          <w:i w:val="false"/>
          <w:iCs w:val="false"/>
          <w:color w:val="000000"/>
          <w:szCs w:val="20"/>
        </w:rPr>
        <w:t>objetos</w:t>
      </w:r>
      <w:r>
        <w:rPr>
          <w:rFonts w:cs="Arial" w:ascii="Arial" w:hAnsi="Arial"/>
          <w:b w:val="false"/>
          <w:bCs w:val="false"/>
          <w:i w:val="false"/>
          <w:iCs w:val="false"/>
          <w:color w:val="000000"/>
        </w:rPr>
        <w:t xml:space="preserve">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76" w:before="57" w:after="57"/>
        <w:ind w:hanging="0" w:left="0" w:right="0"/>
        <w:jc w:val="both"/>
        <w:rPr/>
      </w:pPr>
      <w:r>
        <w:rPr>
          <w:rFonts w:eastAsia="Times New Roman" w:cs="Arial" w:ascii="Arial" w:hAnsi="Arial"/>
          <w:b w:val="false"/>
          <w:bCs w:val="false"/>
          <w:i w:val="false"/>
          <w:iCs w:val="false"/>
          <w:color w:val="000000"/>
        </w:rPr>
        <w:t xml:space="preserve">8.9.3. </w:t>
      </w:r>
      <w:r>
        <w:rPr>
          <w:rFonts w:cs="Arial" w:ascii="Arial" w:hAnsi="Arial"/>
          <w:b w:val="false"/>
          <w:bCs w:val="false"/>
          <w:i w:val="false"/>
          <w:iCs w:val="false"/>
          <w:color w:val="000000"/>
        </w:rPr>
        <w:t>A nota fiscal deverá ser acompanhada pelas Certidões de Regularidades Fiscais.</w:t>
      </w:r>
      <w:r>
        <w:rPr/>
        <w:br/>
      </w:r>
      <w:r>
        <w:rPr>
          <w:rFonts w:eastAsia="Times New Roman" w:cs="Arial" w:ascii="Arial" w:hAnsi="Arial"/>
          <w:b w:val="false"/>
          <w:bCs w:val="false"/>
          <w:i w:val="false"/>
          <w:iCs w:val="false"/>
          <w:color w:val="000000"/>
        </w:rPr>
        <w:t xml:space="preserve">8.9.4. </w:t>
      </w:r>
      <w:bookmarkStart w:id="6" w:name="_GoBack1111"/>
      <w:r>
        <w:rPr>
          <w:rFonts w:cs="Arial" w:ascii="Arial" w:hAnsi="Arial"/>
          <w:b w:val="false"/>
          <w:bCs w:val="false"/>
          <w:i w:val="false"/>
          <w:iCs w:val="false"/>
          <w:color w:val="000000"/>
        </w:rPr>
        <w:t>Substituir quaisquer objeto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76" w:before="57" w:after="57"/>
        <w:ind w:hanging="0" w:left="0" w:right="0"/>
        <w:jc w:val="both"/>
        <w:rPr>
          <w:rFonts w:ascii="Arial" w:hAnsi="Arial" w:cs="Arial"/>
          <w:b/>
          <w:u w:val="single"/>
        </w:rPr>
      </w:pPr>
      <w:r>
        <w:rPr>
          <w:rFonts w:cs="Arial" w:ascii="Arial" w:hAnsi="Arial"/>
          <w:b/>
          <w:u w:val="single"/>
        </w:rPr>
      </w:r>
    </w:p>
    <w:p>
      <w:pPr>
        <w:pStyle w:val="Normal"/>
        <w:spacing w:lineRule="auto" w:line="276" w:before="57" w:after="57"/>
        <w:ind w:hanging="0" w:left="0" w:right="0"/>
        <w:jc w:val="both"/>
        <w:rPr>
          <w:rFonts w:ascii="Arial" w:hAnsi="Arial" w:cs="Arial"/>
          <w:b/>
          <w:bCs/>
          <w:i w:val="false"/>
          <w:i w:val="false"/>
          <w:iCs w:val="false"/>
          <w:color w:val="000000"/>
        </w:rPr>
      </w:pPr>
      <w:r>
        <w:rPr>
          <w:rFonts w:cs="Arial" w:ascii="Arial" w:hAnsi="Arial"/>
          <w:b/>
          <w:bCs/>
          <w:i w:val="false"/>
          <w:iCs w:val="false"/>
          <w:color w:val="000000"/>
        </w:rPr>
        <w:t>9. DO CONTROLE E FISCALIZAÇÃO DA EXECUÇÃO</w:t>
      </w:r>
    </w:p>
    <w:p>
      <w:pPr>
        <w:pStyle w:val="Normal"/>
        <w:spacing w:lineRule="auto" w:line="276" w:before="57" w:after="57"/>
        <w:ind w:hanging="0" w:left="0" w:right="0"/>
        <w:jc w:val="both"/>
        <w:rPr>
          <w:rFonts w:ascii="Arial" w:hAnsi="Arial" w:cs="Arial"/>
          <w:b w:val="false"/>
          <w:bCs w:val="false"/>
          <w:i w:val="false"/>
          <w:i w:val="false"/>
          <w:iCs w:val="false"/>
          <w:color w:val="000000"/>
        </w:rPr>
      </w:pPr>
      <w:r>
        <w:rPr>
          <w:rFonts w:cs="Arial" w:ascii="Arial" w:hAnsi="Arial"/>
          <w:b w:val="false"/>
          <w:bCs w:val="false"/>
          <w:i w:val="false"/>
          <w:iCs w:val="false"/>
          <w:color w:val="000000"/>
        </w:rPr>
        <w:t>9.1. A fiscalização será realizado por servidor da secretaria requisitante para acompanhar e fiscalizar a entrega dos bens, anotando em registro próprio todas as ocorrências relacionadas com a execução e determinando o que for necessário à regularização de falhas ou defeitos observados.</w:t>
      </w:r>
    </w:p>
    <w:p>
      <w:pPr>
        <w:pStyle w:val="Normal"/>
        <w:spacing w:lineRule="auto" w:line="276" w:before="57" w:after="57"/>
        <w:ind w:hanging="0" w:left="0" w:right="0"/>
        <w:jc w:val="both"/>
        <w:rPr>
          <w:rFonts w:ascii="Arial" w:hAnsi="Arial" w:cs="Arial"/>
          <w:b w:val="false"/>
          <w:bCs w:val="false"/>
          <w:i w:val="false"/>
          <w:i w:val="false"/>
          <w:iCs w:val="false"/>
          <w:color w:val="000000"/>
        </w:rPr>
      </w:pPr>
      <w:r>
        <w:rPr>
          <w:rFonts w:cs="Arial" w:ascii="Arial" w:hAnsi="Arial"/>
          <w:b w:val="false"/>
          <w:bCs w:val="false"/>
          <w:i w:val="false"/>
          <w:iCs w:val="false"/>
          <w:color w:val="000000"/>
        </w:rPr>
        <w:t>9.2.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pPr>
        <w:pStyle w:val="Normal"/>
        <w:spacing w:lineRule="auto" w:line="276" w:before="57" w:after="57"/>
        <w:ind w:hanging="0" w:left="0" w:right="0"/>
        <w:jc w:val="both"/>
        <w:rPr>
          <w:rFonts w:ascii="Arial" w:hAnsi="Arial" w:cs="Arial"/>
          <w:b/>
          <w:u w:val="single"/>
        </w:rPr>
      </w:pPr>
      <w:r>
        <w:rPr>
          <w:rFonts w:cs="Arial" w:ascii="Arial" w:hAnsi="Arial"/>
          <w:b/>
          <w:u w:val="single"/>
        </w:rPr>
      </w:r>
    </w:p>
    <w:p>
      <w:pPr>
        <w:pStyle w:val="Normal"/>
        <w:spacing w:lineRule="auto" w:line="276" w:before="57" w:after="57"/>
        <w:ind w:hanging="0" w:left="0" w:right="0"/>
        <w:jc w:val="both"/>
        <w:rPr>
          <w:rFonts w:ascii="Arial" w:hAnsi="Arial"/>
          <w:b/>
          <w:bCs/>
        </w:rPr>
      </w:pPr>
      <w:r>
        <w:rPr>
          <w:rFonts w:ascii="Arial" w:hAnsi="Arial"/>
          <w:b/>
          <w:bCs/>
        </w:rPr>
        <w:t>10. CRITÉRIOS DE PAGAMENTO</w:t>
      </w:r>
    </w:p>
    <w:p>
      <w:pPr>
        <w:pStyle w:val="Normal"/>
        <w:spacing w:lineRule="auto" w:line="276" w:before="57" w:after="57"/>
        <w:ind w:hanging="0" w:left="0" w:right="0"/>
        <w:jc w:val="both"/>
        <w:rPr/>
      </w:pPr>
      <w:r>
        <w:rPr>
          <w:rFonts w:ascii="Arial" w:hAnsi="Arial"/>
          <w:b w:val="false"/>
          <w:bCs w:val="false"/>
          <w:lang w:eastAsia="en-US"/>
        </w:rPr>
        <w:t xml:space="preserve">10.1. Recebida a Nota Fiscal ou documento de cobrança equivalente, correrá o prazo de </w:t>
      </w:r>
      <w:r>
        <w:rPr>
          <w:rFonts w:eastAsia="Times New Roman" w:cs="Times New Roman" w:ascii="Arial" w:hAnsi="Arial"/>
          <w:b w:val="false"/>
          <w:bCs w:val="false"/>
          <w:szCs w:val="20"/>
          <w:lang w:eastAsia="en-US"/>
        </w:rPr>
        <w:t>(30) trinta</w:t>
      </w:r>
      <w:r>
        <w:rPr>
          <w:rFonts w:ascii="Arial" w:hAnsi="Arial"/>
          <w:b w:val="false"/>
          <w:bCs w:val="false"/>
          <w:lang w:eastAsia="en-US"/>
        </w:rPr>
        <w:t xml:space="preserve"> dias úteis para fins de liquidação, na forma desta seção, prorrogáveis por igual período.</w:t>
      </w:r>
    </w:p>
    <w:p>
      <w:pPr>
        <w:pStyle w:val="Normal"/>
        <w:spacing w:lineRule="auto" w:line="276" w:before="57" w:after="57"/>
        <w:ind w:hanging="0" w:left="0" w:right="0"/>
        <w:jc w:val="both"/>
        <w:rPr/>
      </w:pPr>
      <w:r>
        <w:rPr>
          <w:rFonts w:ascii="Arial" w:hAnsi="Arial"/>
          <w:b w:val="false"/>
          <w:bCs w:val="false"/>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
          <w:u w:val="none"/>
          <w:b w:val="false"/>
          <w:bCs w:val="false"/>
          <w:rFonts w:ascii="Arial" w:hAnsi="Arial"/>
          <w:color w:val="000000"/>
        </w:rPr>
        <w:instrText xml:space="preserve"> HYPERLINK "http://www.planalto.gov.br/ccivil_03/_ato2019-2022/2021/lei/L14133.htm" \l "art75"</w:instrText>
      </w:r>
      <w:r>
        <w:rPr>
          <w:rStyle w:val="ListLabel1"/>
          <w:u w:val="none"/>
          <w:b w:val="false"/>
          <w:bCs w:val="false"/>
          <w:rFonts w:ascii="Arial" w:hAnsi="Arial"/>
          <w:color w:val="000000"/>
        </w:rPr>
        <w:fldChar w:fldCharType="separate"/>
      </w:r>
      <w:r>
        <w:rPr>
          <w:rStyle w:val="ListLabel1"/>
          <w:rFonts w:ascii="Arial" w:hAnsi="Arial"/>
          <w:b w:val="false"/>
          <w:bCs w:val="false"/>
          <w:color w:val="000000"/>
          <w:u w:val="none"/>
        </w:rPr>
        <w:t>inciso II do art. 75 da Lei nº 14.133, de 2021</w:t>
      </w:r>
      <w:r>
        <w:rPr>
          <w:rStyle w:val="ListLabel1"/>
          <w:u w:val="none"/>
          <w:b w:val="false"/>
          <w:bCs w:val="false"/>
          <w:rFonts w:ascii="Arial" w:hAnsi="Arial"/>
          <w:color w:val="000000"/>
        </w:rPr>
        <w:fldChar w:fldCharType="end"/>
      </w:r>
      <w:r>
        <w:rPr>
          <w:rFonts w:ascii="Arial" w:hAnsi="Arial"/>
          <w:b w:val="false"/>
          <w:bCs w:val="false"/>
          <w:color w:val="000000"/>
          <w:u w:val="none"/>
        </w:rPr>
        <w:t>.</w:t>
      </w:r>
    </w:p>
    <w:p>
      <w:pPr>
        <w:pStyle w:val="Normal"/>
        <w:spacing w:lineRule="auto" w:line="276" w:before="57" w:after="57"/>
        <w:ind w:hanging="0" w:left="0" w:right="0"/>
        <w:jc w:val="both"/>
        <w:rPr>
          <w:rFonts w:ascii="Arial" w:hAnsi="Arial"/>
          <w:b w:val="false"/>
          <w:bCs w:val="false"/>
        </w:rPr>
      </w:pPr>
      <w:r>
        <w:rPr>
          <w:rFonts w:ascii="Arial" w:hAnsi="Arial"/>
          <w:b w:val="false"/>
          <w:bCs w:val="false"/>
        </w:rPr>
        <w:t xml:space="preserve">10.3.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76" w:before="57" w:after="57"/>
        <w:ind w:hanging="0" w:left="0" w:right="0"/>
        <w:jc w:val="both"/>
        <w:rPr>
          <w:rFonts w:ascii="Arial" w:hAnsi="Arial"/>
          <w:b w:val="false"/>
          <w:bCs w:val="false"/>
        </w:rPr>
      </w:pPr>
      <w:r>
        <w:rPr>
          <w:rFonts w:ascii="Arial" w:hAnsi="Arial"/>
          <w:b w:val="false"/>
          <w:bCs w:val="false"/>
        </w:rPr>
        <w:t>- O prazo de validade;</w:t>
      </w:r>
    </w:p>
    <w:p>
      <w:pPr>
        <w:pStyle w:val="Normal"/>
        <w:tabs>
          <w:tab w:val="clear" w:pos="708"/>
          <w:tab w:val="left" w:pos="563" w:leader="none"/>
        </w:tabs>
        <w:spacing w:lineRule="auto" w:line="276" w:before="57" w:after="57"/>
        <w:ind w:hanging="0" w:left="0" w:right="0"/>
        <w:jc w:val="both"/>
        <w:rPr>
          <w:rFonts w:ascii="Arial" w:hAnsi="Arial"/>
          <w:b w:val="false"/>
          <w:bCs w:val="false"/>
        </w:rPr>
      </w:pPr>
      <w:r>
        <w:rPr>
          <w:rFonts w:ascii="Arial" w:hAnsi="Arial"/>
          <w:b w:val="false"/>
          <w:bCs w:val="false"/>
        </w:rPr>
        <w:t xml:space="preserve">- A data da emissão; </w:t>
      </w:r>
    </w:p>
    <w:p>
      <w:pPr>
        <w:pStyle w:val="Normal"/>
        <w:tabs>
          <w:tab w:val="clear" w:pos="708"/>
          <w:tab w:val="left" w:pos="563" w:leader="none"/>
        </w:tabs>
        <w:spacing w:lineRule="auto" w:line="276" w:before="57" w:after="57"/>
        <w:ind w:hanging="0" w:left="0" w:right="0"/>
        <w:jc w:val="both"/>
        <w:rPr>
          <w:rFonts w:ascii="Arial" w:hAnsi="Arial"/>
          <w:b w:val="false"/>
          <w:bCs w:val="false"/>
        </w:rPr>
      </w:pPr>
      <w:r>
        <w:rPr>
          <w:rFonts w:ascii="Arial" w:hAnsi="Arial"/>
          <w:b w:val="false"/>
          <w:bCs w:val="false"/>
        </w:rPr>
        <w:t xml:space="preserve">- Os dados do contrato e do órgão contratante; </w:t>
      </w:r>
    </w:p>
    <w:p>
      <w:pPr>
        <w:pStyle w:val="Normal"/>
        <w:tabs>
          <w:tab w:val="clear" w:pos="708"/>
          <w:tab w:val="left" w:pos="563" w:leader="none"/>
        </w:tabs>
        <w:spacing w:lineRule="auto" w:line="276" w:before="57" w:after="57"/>
        <w:ind w:hanging="0" w:left="0" w:right="0"/>
        <w:jc w:val="both"/>
        <w:rPr>
          <w:rFonts w:ascii="Arial" w:hAnsi="Arial"/>
          <w:b w:val="false"/>
          <w:bCs w:val="false"/>
        </w:rPr>
      </w:pPr>
      <w:r>
        <w:rPr>
          <w:rFonts w:ascii="Arial" w:hAnsi="Arial"/>
          <w:b w:val="false"/>
          <w:bCs w:val="false"/>
        </w:rPr>
        <w:t xml:space="preserve">- O período respectivo de execução do contrato; </w:t>
      </w:r>
    </w:p>
    <w:p>
      <w:pPr>
        <w:pStyle w:val="Normal"/>
        <w:tabs>
          <w:tab w:val="clear" w:pos="708"/>
          <w:tab w:val="left" w:pos="563" w:leader="none"/>
        </w:tabs>
        <w:spacing w:lineRule="auto" w:line="276" w:before="57" w:after="57"/>
        <w:ind w:hanging="0" w:left="0" w:right="0"/>
        <w:jc w:val="both"/>
        <w:rPr>
          <w:rFonts w:ascii="Arial" w:hAnsi="Arial"/>
          <w:b w:val="false"/>
          <w:bCs w:val="false"/>
        </w:rPr>
      </w:pPr>
      <w:r>
        <w:rPr>
          <w:rFonts w:ascii="Arial" w:hAnsi="Arial"/>
          <w:b w:val="false"/>
          <w:bCs w:val="false"/>
        </w:rPr>
        <w:t xml:space="preserve">- O valor a pagar; e </w:t>
      </w:r>
    </w:p>
    <w:p>
      <w:pPr>
        <w:pStyle w:val="Normal"/>
        <w:tabs>
          <w:tab w:val="clear" w:pos="708"/>
          <w:tab w:val="left" w:pos="563" w:leader="none"/>
        </w:tabs>
        <w:spacing w:lineRule="auto" w:line="276" w:before="57" w:after="57"/>
        <w:ind w:hanging="0" w:left="0" w:right="0"/>
        <w:jc w:val="both"/>
        <w:rPr>
          <w:rFonts w:ascii="Arial" w:hAnsi="Arial"/>
          <w:b w:val="false"/>
          <w:bCs w:val="false"/>
        </w:rPr>
      </w:pPr>
      <w:r>
        <w:rPr>
          <w:rFonts w:ascii="Arial" w:hAnsi="Arial"/>
          <w:b w:val="false"/>
          <w:bCs w:val="false"/>
        </w:rPr>
        <w:t>- Eventual destaque do valor de retenções tributárias cabíveis.</w:t>
      </w:r>
    </w:p>
    <w:p>
      <w:pPr>
        <w:pStyle w:val="Normal"/>
        <w:tabs>
          <w:tab w:val="clear" w:pos="708"/>
          <w:tab w:val="left" w:pos="625" w:leader="none"/>
        </w:tabs>
        <w:spacing w:lineRule="auto" w:line="276" w:before="57" w:after="57"/>
        <w:ind w:hanging="0" w:left="0" w:right="0"/>
        <w:jc w:val="both"/>
        <w:rPr/>
      </w:pPr>
      <w:r>
        <w:rPr>
          <w:rFonts w:ascii="Arial" w:hAnsi="Arial"/>
          <w:b w:val="false"/>
          <w:bCs w:val="false"/>
        </w:rPr>
        <w:t>10.4. Haven</w:t>
      </w:r>
      <w:r>
        <w:rPr>
          <w:rFonts w:ascii="Arial" w:hAnsi="Arial"/>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57" w:after="57"/>
        <w:ind w:hanging="0" w:left="0" w:right="0"/>
        <w:jc w:val="both"/>
        <w:rPr/>
      </w:pPr>
      <w:r>
        <w:rPr>
          <w:rFonts w:ascii="Arial" w:hAnsi="Arial"/>
          <w:b w:val="false"/>
          <w:bCs w:val="false"/>
        </w:rPr>
        <w:t>10.5. A</w:t>
      </w:r>
      <w:r>
        <w:rPr>
          <w:rFonts w:ascii="Arial" w:hAnsi="Arial"/>
          <w:b w:val="false"/>
          <w:bCs w:val="false"/>
          <w:lang w:eastAsia="en-US"/>
        </w:rPr>
        <w:t xml:space="preserve"> nota fisc</w:t>
      </w:r>
      <w:r>
        <w:rPr>
          <w:rFonts w:ascii="Arial" w:hAnsi="Arial"/>
          <w:lang w:eastAsia="en-US"/>
        </w:rPr>
        <w:t>al ou instrumento de cobrança equivalente deverá ser obrigatoriamente acompanhado da comprovação da regularidade fiscal</w:t>
      </w:r>
      <w:r>
        <w:rPr>
          <w:rStyle w:val="InternetLink"/>
          <w:rFonts w:ascii="Arial" w:hAnsi="Arial"/>
          <w:lang w:eastAsia="en-US"/>
        </w:rPr>
        <w:t>.</w:t>
      </w:r>
    </w:p>
    <w:p>
      <w:pPr>
        <w:pStyle w:val="Normal"/>
        <w:spacing w:lineRule="auto" w:line="276" w:before="57" w:after="57"/>
        <w:ind w:hanging="0" w:left="0" w:right="0"/>
        <w:jc w:val="both"/>
        <w:rPr>
          <w:rFonts w:ascii="Arial" w:hAnsi="Arial"/>
          <w:b w:val="false"/>
          <w:bCs w:val="false"/>
          <w:i w:val="false"/>
          <w:i w:val="false"/>
          <w:iCs w:val="false"/>
        </w:rPr>
      </w:pPr>
      <w:r>
        <w:rPr>
          <w:rFonts w:ascii="Arial" w:hAnsi="Arial"/>
          <w:b w:val="false"/>
          <w:bCs w:val="false"/>
          <w:i w:val="false"/>
          <w:iCs w:val="false"/>
        </w:rPr>
        <w:t>10.6. O pagamento será efetuado no prazo de até 30 (trinta) dias úteis contados da finalização da liquidação da despesa.</w:t>
      </w:r>
    </w:p>
    <w:p>
      <w:pPr>
        <w:pStyle w:val="Normal"/>
        <w:spacing w:lineRule="auto" w:line="276" w:before="57" w:after="57"/>
        <w:ind w:hanging="0" w:left="0" w:right="0"/>
        <w:jc w:val="both"/>
        <w:rPr>
          <w:rFonts w:ascii="Arial" w:hAnsi="Arial"/>
          <w:b w:val="false"/>
          <w:bCs w:val="false"/>
          <w:i w:val="false"/>
          <w:i w:val="false"/>
          <w:iCs w:val="false"/>
        </w:rPr>
      </w:pPr>
      <w:r>
        <w:rPr>
          <w:rFonts w:ascii="Arial" w:hAnsi="Arial"/>
          <w:b w:val="false"/>
          <w:bCs w:val="false"/>
          <w:i w:val="false"/>
          <w:iCs w:val="false"/>
        </w:rPr>
        <w:t>10.7. O pagamento será realizado por meio de ordem bancária, para crédito em banco, agência e conta corrente indicados pelo contratado.</w:t>
      </w:r>
    </w:p>
    <w:p>
      <w:pPr>
        <w:pStyle w:val="Normal"/>
        <w:spacing w:lineRule="auto" w:line="276" w:before="57" w:after="57"/>
        <w:ind w:hanging="0" w:left="0" w:right="0"/>
        <w:jc w:val="both"/>
        <w:rPr>
          <w:rFonts w:ascii="Arial" w:hAnsi="Arial"/>
          <w:b w:val="false"/>
          <w:bCs w:val="false"/>
          <w:i w:val="false"/>
          <w:i w:val="false"/>
          <w:iCs w:val="false"/>
        </w:rPr>
      </w:pPr>
      <w:r>
        <w:rPr>
          <w:rFonts w:ascii="Arial" w:hAnsi="Arial"/>
          <w:b w:val="false"/>
          <w:bCs w:val="false"/>
          <w:i w:val="false"/>
          <w:iCs w:val="false"/>
        </w:rPr>
        <w:t>10.8. Será considerada data do pagamento o dia em que constar como emitida a ordem bancária para pagamento.</w:t>
      </w:r>
    </w:p>
    <w:p>
      <w:pPr>
        <w:pStyle w:val="Normal"/>
        <w:spacing w:lineRule="auto" w:line="276" w:before="57" w:after="57"/>
        <w:ind w:hanging="0" w:left="0" w:right="0"/>
        <w:jc w:val="both"/>
        <w:rPr>
          <w:rFonts w:ascii="Arial" w:hAnsi="Arial"/>
          <w:b w:val="false"/>
          <w:bCs w:val="false"/>
          <w:i w:val="false"/>
          <w:i w:val="false"/>
          <w:iCs w:val="false"/>
        </w:rPr>
      </w:pPr>
      <w:r>
        <w:rPr>
          <w:rFonts w:ascii="Arial" w:hAnsi="Arial"/>
          <w:b w:val="false"/>
          <w:bCs w:val="false"/>
          <w:i w:val="false"/>
          <w:iCs w:val="false"/>
        </w:rPr>
        <w:t>10.9. Quando do pagamento, será efetuada a retenção tributária prevista na legislação aplicável.</w:t>
      </w:r>
    </w:p>
    <w:p>
      <w:pPr>
        <w:pStyle w:val="Normal"/>
        <w:spacing w:lineRule="auto" w:line="276" w:before="57" w:after="57"/>
        <w:ind w:hanging="0" w:left="0" w:right="0"/>
        <w:jc w:val="both"/>
        <w:rPr/>
      </w:pPr>
      <w:r>
        <w:rPr>
          <w:rFonts w:ascii="Arial" w:hAnsi="Arial"/>
          <w:b w:val="false"/>
          <w:bCs w:val="false"/>
          <w:i w:val="false"/>
          <w:iCs w:val="false"/>
          <w:lang w:eastAsia="en-US"/>
        </w:rPr>
        <w:t xml:space="preserve">10.10. O contratado regularmente optante pelo Simples Nacional, nos termos da </w:t>
      </w:r>
      <w:hyperlink r:id="rId2">
        <w:r>
          <w:rPr>
            <w:rStyle w:val="ListLabel2"/>
            <w:rFonts w:ascii="Arial" w:hAnsi="Arial"/>
            <w:b w:val="false"/>
            <w:bCs w:val="false"/>
            <w:i w:val="false"/>
            <w:iCs w:val="false"/>
            <w:u w:val="none"/>
            <w:lang w:eastAsia="en-US"/>
          </w:rPr>
          <w:t>Lei Complementar nº 123, de 2006</w:t>
        </w:r>
      </w:hyperlink>
      <w:r>
        <w:rPr>
          <w:rFonts w:ascii="Arial" w:hAnsi="Arial"/>
          <w:b w:val="false"/>
          <w:bCs w:val="false"/>
          <w:i w:val="false"/>
          <w:iCs w:val="false"/>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57" w:after="57"/>
        <w:ind w:hanging="0" w:left="0" w:right="0"/>
        <w:jc w:val="both"/>
        <w:rPr>
          <w:rFonts w:ascii="Arial" w:hAnsi="Arial"/>
          <w:b w:val="false"/>
          <w:bCs w:val="false"/>
          <w:i w:val="false"/>
          <w:i w:val="false"/>
          <w:iCs w:val="false"/>
          <w:lang w:eastAsia="en-US"/>
        </w:rPr>
      </w:pPr>
      <w:r>
        <w:rPr>
          <w:rFonts w:ascii="Arial" w:hAnsi="Arial"/>
          <w:b w:val="false"/>
          <w:bCs w:val="false"/>
          <w:i w:val="false"/>
          <w:iCs w:val="false"/>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before="57" w:after="57"/>
        <w:ind w:hanging="0" w:left="0" w:right="0"/>
        <w:jc w:val="both"/>
        <w:rPr/>
      </w:pPr>
      <w:r>
        <w:rPr>
          <w:rFonts w:ascii="Arial" w:hAnsi="Arial"/>
          <w:b w:val="false"/>
          <w:bCs w:val="false"/>
          <w:i w:val="false"/>
          <w:iCs w:val="false"/>
          <w:color w:val="000000"/>
        </w:rPr>
        <w:t>10.11.</w:t>
      </w:r>
      <w:r>
        <w:rPr>
          <w:rFonts w:ascii="Arial" w:hAnsi="Arial"/>
          <w:b/>
          <w:bCs/>
          <w:color w:val="000000"/>
        </w:rPr>
        <w:t xml:space="preserve"> </w:t>
      </w:r>
      <w:r>
        <w:rPr>
          <w:rFonts w:ascii="Arial" w:hAnsi="Arial"/>
        </w:rPr>
        <w:t xml:space="preserve"> Após o prazo acima referenciado, será paga multa financeira nos seguintes termos:</w:t>
      </w:r>
    </w:p>
    <w:p>
      <w:pPr>
        <w:pStyle w:val="PargrafodaLista"/>
        <w:tabs>
          <w:tab w:val="clear" w:pos="708"/>
          <w:tab w:val="left" w:pos="518" w:leader="none"/>
        </w:tabs>
        <w:spacing w:lineRule="auto" w:line="276" w:before="57" w:after="57"/>
        <w:ind w:hanging="0" w:left="0" w:right="0"/>
        <w:contextualSpacing w:val="false"/>
        <w:jc w:val="center"/>
        <w:rPr/>
      </w:pPr>
      <w:r>
        <w:rPr>
          <w:rFonts w:cs="Verdana" w:ascii="Arial" w:hAnsi="Arial"/>
          <w:sz w:val="24"/>
          <w:szCs w:val="24"/>
        </w:rPr>
        <w:t xml:space="preserve">VM = VF </w:t>
      </w:r>
      <w:r>
        <w:rPr>
          <w:rFonts w:cs="Verdana" w:ascii="Arial" w:hAnsi="Arial"/>
          <w:sz w:val="24"/>
          <w:szCs w:val="24"/>
          <w:vertAlign w:val="subscript"/>
        </w:rPr>
        <w:t>*</w:t>
      </w:r>
      <w:r>
        <w:rPr>
          <w:rFonts w:cs="Verdana" w:ascii="Arial" w:hAnsi="Arial"/>
          <w:sz w:val="24"/>
          <w:szCs w:val="24"/>
        </w:rPr>
        <w:t xml:space="preserve"> </w:t>
      </w:r>
      <w:r>
        <w:rPr>
          <w:rFonts w:cs="Verdana" w:ascii="Arial" w:hAnsi="Arial"/>
          <w:sz w:val="24"/>
          <w:szCs w:val="24"/>
          <w:u w:val="single"/>
        </w:rPr>
        <w:t>0,33</w:t>
      </w:r>
      <w:r>
        <w:rPr>
          <w:rFonts w:cs="Verdana" w:ascii="Arial" w:hAnsi="Arial"/>
          <w:sz w:val="24"/>
          <w:szCs w:val="24"/>
        </w:rPr>
        <w:t xml:space="preserve"> </w:t>
      </w:r>
      <w:r>
        <w:rPr>
          <w:rFonts w:cs="Verdana" w:ascii="Arial" w:hAnsi="Arial"/>
          <w:sz w:val="24"/>
          <w:szCs w:val="24"/>
          <w:vertAlign w:val="subscript"/>
        </w:rPr>
        <w:t>*</w:t>
      </w:r>
      <w:r>
        <w:rPr>
          <w:rFonts w:cs="Verdana" w:ascii="Arial" w:hAnsi="Arial"/>
          <w:sz w:val="24"/>
          <w:szCs w:val="24"/>
        </w:rPr>
        <w:t xml:space="preserve"> ND</w:t>
      </w:r>
    </w:p>
    <w:p>
      <w:pPr>
        <w:pStyle w:val="PargrafodaLista"/>
        <w:tabs>
          <w:tab w:val="clear" w:pos="708"/>
          <w:tab w:val="left" w:pos="518" w:leader="none"/>
        </w:tabs>
        <w:spacing w:lineRule="auto" w:line="276" w:before="57" w:after="57"/>
        <w:ind w:hanging="0" w:left="0" w:right="0"/>
        <w:contextualSpacing w:val="false"/>
        <w:jc w:val="center"/>
        <w:rPr/>
      </w:pPr>
      <w:r>
        <w:rPr>
          <w:rFonts w:eastAsia="Verdana" w:cs="Verdana" w:ascii="Arial" w:hAnsi="Arial"/>
          <w:sz w:val="24"/>
          <w:szCs w:val="24"/>
        </w:rPr>
        <w:t xml:space="preserve">        </w:t>
      </w:r>
      <w:r>
        <w:rPr>
          <w:rFonts w:cs="Verdana" w:ascii="Arial" w:hAnsi="Arial"/>
          <w:sz w:val="24"/>
          <w:szCs w:val="24"/>
        </w:rPr>
        <w:t>100</w:t>
      </w:r>
    </w:p>
    <w:p>
      <w:pPr>
        <w:pStyle w:val="Normal"/>
        <w:suppressAutoHyphens w:val="false"/>
        <w:spacing w:lineRule="auto" w:line="276" w:before="57" w:after="57"/>
        <w:ind w:hanging="0" w:left="0" w:right="0"/>
        <w:rPr>
          <w:rFonts w:ascii="Arial" w:hAnsi="Arial" w:cs="Arial"/>
          <w:color w:val="000000"/>
        </w:rPr>
      </w:pPr>
      <w:r>
        <w:rPr>
          <w:rFonts w:cs="Arial" w:ascii="Arial" w:hAnsi="Arial"/>
          <w:color w:val="000000"/>
        </w:rPr>
        <w:t xml:space="preserve">Onde: </w:t>
      </w:r>
    </w:p>
    <w:p>
      <w:pPr>
        <w:pStyle w:val="Normal"/>
        <w:suppressAutoHyphens w:val="false"/>
        <w:spacing w:lineRule="auto" w:line="276" w:before="57" w:after="57"/>
        <w:ind w:hanging="0" w:left="0" w:right="0"/>
        <w:rPr>
          <w:rFonts w:ascii="Arial" w:hAnsi="Arial" w:cs="Arial"/>
          <w:color w:val="000000"/>
        </w:rPr>
      </w:pPr>
      <w:r>
        <w:rPr>
          <w:rFonts w:cs="Arial" w:ascii="Arial" w:hAnsi="Arial"/>
          <w:color w:val="000000"/>
        </w:rPr>
        <w:t xml:space="preserve">VM = Valor da Multa Financeira; </w:t>
      </w:r>
    </w:p>
    <w:p>
      <w:pPr>
        <w:pStyle w:val="Normal"/>
        <w:suppressAutoHyphens w:val="false"/>
        <w:spacing w:lineRule="auto" w:line="276" w:before="57" w:after="57"/>
        <w:ind w:hanging="0" w:left="0" w:right="0"/>
        <w:rPr>
          <w:rFonts w:ascii="Arial" w:hAnsi="Arial" w:cs="Arial"/>
          <w:color w:val="000000"/>
        </w:rPr>
      </w:pPr>
      <w:r>
        <w:rPr>
          <w:rFonts w:cs="Arial" w:ascii="Arial" w:hAnsi="Arial"/>
          <w:color w:val="000000"/>
        </w:rPr>
        <w:t xml:space="preserve">VF = Valor da Nota Fiscal; </w:t>
      </w:r>
    </w:p>
    <w:p>
      <w:pPr>
        <w:pStyle w:val="PargrafodaLista"/>
        <w:tabs>
          <w:tab w:val="clear" w:pos="708"/>
          <w:tab w:val="left" w:pos="518" w:leader="none"/>
        </w:tabs>
        <w:spacing w:lineRule="auto" w:line="276" w:before="57" w:after="57"/>
        <w:ind w:hanging="0" w:left="0" w:right="0"/>
        <w:contextualSpacing w:val="false"/>
        <w:rPr>
          <w:rFonts w:ascii="Arial" w:hAnsi="Arial" w:eastAsia="Times New Roman" w:cs="Arial"/>
          <w:color w:val="000000"/>
          <w:sz w:val="24"/>
          <w:szCs w:val="24"/>
        </w:rPr>
      </w:pPr>
      <w:r>
        <w:rPr>
          <w:rFonts w:eastAsia="Times New Roman" w:cs="Arial" w:ascii="Arial" w:hAnsi="Arial"/>
          <w:color w:val="000000"/>
          <w:sz w:val="24"/>
          <w:szCs w:val="24"/>
        </w:rPr>
        <w:t>ND = Número de dias em atraso.</w:t>
      </w:r>
    </w:p>
    <w:p>
      <w:pPr>
        <w:pStyle w:val="PargrafodaLista"/>
        <w:tabs>
          <w:tab w:val="clear" w:pos="708"/>
          <w:tab w:val="left" w:pos="518" w:leader="none"/>
        </w:tabs>
        <w:spacing w:lineRule="auto" w:line="276" w:before="57" w:after="57"/>
        <w:ind w:hanging="0" w:left="0" w:right="0"/>
        <w:contextualSpacing w:val="false"/>
        <w:rPr/>
      </w:pPr>
      <w:r>
        <w:rPr>
          <w:rFonts w:eastAsia="Times New Roman" w:cs="Arial" w:ascii="Arial" w:hAnsi="Arial"/>
          <w:b w:val="false"/>
          <w:bCs w:val="false"/>
          <w:color w:val="000000"/>
          <w:sz w:val="24"/>
          <w:szCs w:val="24"/>
        </w:rPr>
        <w:t xml:space="preserve">10.12.. </w:t>
      </w:r>
      <w:r>
        <w:rPr>
          <w:rFonts w:cs="Arial" w:ascii="Arial" w:hAnsi="Arial"/>
          <w:b w:val="false"/>
          <w:bCs w:val="false"/>
          <w:color w:val="000000"/>
          <w:sz w:val="24"/>
          <w:szCs w:val="24"/>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276" w:before="57" w:after="57"/>
        <w:ind w:hanging="0" w:left="0" w:right="0"/>
        <w:contextualSpacing w:val="false"/>
        <w:rPr/>
      </w:pPr>
      <w:r>
        <w:rPr>
          <w:rFonts w:eastAsia="Times New Roman" w:cs="Arial" w:ascii="Arial" w:hAnsi="Arial"/>
          <w:b w:val="false"/>
          <w:bCs w:val="false"/>
          <w:color w:val="000000"/>
          <w:sz w:val="24"/>
          <w:szCs w:val="24"/>
        </w:rPr>
        <w:t>10.13.</w:t>
      </w:r>
      <w:r>
        <w:rPr>
          <w:rFonts w:cs="Arial" w:ascii="Arial" w:hAnsi="Arial"/>
          <w:b w:val="false"/>
          <w:bCs w:val="false"/>
          <w:color w:val="000000"/>
          <w:sz w:val="24"/>
          <w:szCs w:val="24"/>
        </w:rPr>
        <w:t xml:space="preserve"> Qualquer alteração feita no contrato social, ato constitutivo ou estatuto deverá ser co</w:t>
      </w:r>
      <w:r>
        <w:rPr>
          <w:rFonts w:cs="Arial" w:ascii="Arial" w:hAnsi="Arial"/>
          <w:color w:val="000000"/>
          <w:sz w:val="24"/>
          <w:szCs w:val="24"/>
        </w:rPr>
        <w:t xml:space="preserve">municado ao CONTRATANTE, mediante documentação própria, para apreciação da autoridade competente. </w:t>
      </w:r>
    </w:p>
    <w:p>
      <w:pPr>
        <w:pStyle w:val="PargrafodaLista"/>
        <w:tabs>
          <w:tab w:val="clear" w:pos="708"/>
          <w:tab w:val="left" w:pos="518" w:leader="none"/>
        </w:tabs>
        <w:spacing w:lineRule="auto" w:line="276" w:before="57" w:after="57"/>
        <w:ind w:hanging="0" w:left="0" w:right="0"/>
        <w:contextualSpacing w:val="false"/>
        <w:rPr/>
      </w:pPr>
      <w:r>
        <w:rPr>
          <w:rFonts w:eastAsia="Times New Roman" w:cs="Arial" w:ascii="Arial" w:hAnsi="Arial"/>
          <w:b w:val="false"/>
          <w:bCs w:val="false"/>
          <w:color w:val="000000"/>
          <w:sz w:val="24"/>
          <w:szCs w:val="24"/>
        </w:rPr>
        <w:t xml:space="preserve">10.14. </w:t>
      </w:r>
      <w:r>
        <w:rPr>
          <w:rFonts w:cs="Arial" w:ascii="Arial" w:hAnsi="Arial"/>
          <w:b w:val="false"/>
          <w:bCs w:val="false"/>
          <w:color w:val="000000"/>
          <w:sz w:val="24"/>
          <w:szCs w:val="24"/>
        </w:rPr>
        <w:t>O CONTRATANTE poderá deduzir do pagamento importâncias que a qualquer título lhe forem devidos pela empresa CONTRATADA, em decorrência de descumprimento de suas obrigações.</w:t>
      </w:r>
    </w:p>
    <w:p>
      <w:pPr>
        <w:pStyle w:val="PargrafodaLista"/>
        <w:tabs>
          <w:tab w:val="clear" w:pos="708"/>
          <w:tab w:val="left" w:pos="518" w:leader="none"/>
        </w:tabs>
        <w:spacing w:lineRule="auto" w:line="276" w:before="57" w:after="57"/>
        <w:ind w:hanging="0" w:left="0" w:right="0"/>
        <w:contextualSpacing w:val="false"/>
        <w:rPr/>
      </w:pPr>
      <w:r>
        <w:rPr>
          <w:rFonts w:cs="Arial" w:ascii="Arial" w:hAnsi="Arial"/>
          <w:b w:val="false"/>
          <w:bCs w:val="false"/>
          <w:sz w:val="24"/>
          <w:szCs w:val="24"/>
        </w:rPr>
        <w:t>10.15.</w:t>
      </w:r>
      <w:r>
        <w:rPr>
          <w:rFonts w:cs="Arial" w:ascii="Arial" w:hAnsi="Arial"/>
          <w:sz w:val="24"/>
          <w:szCs w:val="24"/>
        </w:rPr>
        <w:t xml:space="preserve"> Para a efetivação do pagamento, a CONTRATADA deverá manter as mesmas </w:t>
      </w:r>
      <w:r>
        <w:rPr>
          <w:rFonts w:cs="Arial" w:ascii="Arial" w:hAnsi="Arial"/>
          <w:sz w:val="24"/>
          <w:szCs w:val="24"/>
          <w:lang w:eastAsia="pt-BR"/>
        </w:rPr>
        <w:t>condições relativas à proposta de preço e a habilitação;</w:t>
      </w:r>
    </w:p>
    <w:p>
      <w:pPr>
        <w:pStyle w:val="Normal"/>
        <w:spacing w:lineRule="auto" w:line="276" w:before="57" w:after="57"/>
        <w:ind w:hanging="0" w:left="0" w:right="0"/>
        <w:jc w:val="both"/>
        <w:rPr/>
      </w:pPr>
      <w:r>
        <w:rPr>
          <w:rFonts w:eastAsia="Times New Roman" w:cs="Times New Roman" w:ascii="Arial" w:hAnsi="Arial"/>
          <w:b/>
          <w:bCs/>
          <w:iCs/>
          <w:color w:val="000000"/>
          <w:szCs w:val="20"/>
        </w:rPr>
        <w:t>11</w:t>
      </w:r>
      <w:r>
        <w:rPr>
          <w:rFonts w:ascii="Arial" w:hAnsi="Arial"/>
          <w:b/>
          <w:bCs/>
          <w:iCs/>
        </w:rPr>
        <w:t>. DAS SANÇÕES</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 Comete infração administrativa o fornecedor/prestador de serviço que cometer quaisquer das infrações previstas no art. 155 da Lei nº 14.133, de 2021, quais sejam:</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.1.1. Dar causa à inexecução parcial do contrato.</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.1.2. Dar causa à inexecução parcial que cause grave dano à Administração, ao funcionamento dos serviços públicos ou ao interesse coletivo.</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.1.3. Dar causa à inexecução total;</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.1.4. Deixar de entregar a documentação exigida para o certame.</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.1.5. Não manter a proposta, salvo em decorrência de fato superveniente devidamente justificado.</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 xml:space="preserve">.1.6. Não celebrar o contrato ou não entregar a documentação exigida para a contratação, quando convocado dentro do prazo de validade de sua proposta. </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.1.7. Ensejar o retardamento da execução ou da entrega do objeto sem motivo justificado,</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.1.8. Apresentar declaração ou documentação falsa exigida para o certame ou prestar declaração falsa durante a dispensa eletrônica ou a execução do objeto.</w:t>
      </w:r>
    </w:p>
    <w:p>
      <w:pPr>
        <w:pStyle w:val="Normal"/>
        <w:spacing w:lineRule="auto" w:line="276" w:before="57" w:after="57"/>
        <w:ind w:hanging="0" w:left="0" w:right="0"/>
        <w:jc w:val="both"/>
        <w:rPr>
          <w:rFonts w:ascii="Arial" w:hAnsi="Arial"/>
          <w:b w:val="false"/>
          <w:bCs w:val="false"/>
          <w:iCs/>
        </w:rPr>
      </w:pPr>
      <w:r>
        <w:rPr>
          <w:rFonts w:ascii="Arial" w:hAnsi="Arial"/>
          <w:b w:val="false"/>
          <w:bCs w:val="false"/>
          <w:iCs/>
        </w:rPr>
        <w:t>11.1.9. Fraudar a dispensa eletrônica ou praticar ato fraudulento na execução do objeto.</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.1.10. Comportar-se de modo inidôneo ou cometer fraude de qualquer natureza.</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.1.11. Praticar atos ilícitos com vistas a frustrar os objetivos deste certame.</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.1.12. Praticar ato lesivo previsto no art. 5º da Lei nº 12.846, de 1º de agosto de 2013.</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11.1.13.</w:t>
      </w:r>
      <w:r>
        <w:rPr>
          <w:rFonts w:ascii="Arial" w:hAnsi="Arial"/>
          <w:b w:val="false"/>
          <w:bCs w:val="false"/>
          <w:iCs/>
        </w:rPr>
        <w:t xml:space="preserve"> O fornecedor que cometer qualquer das infrações discriminadas nos subitens anteriores fica</w:t>
      </w:r>
      <w:r>
        <w:rPr>
          <w:rFonts w:ascii="Arial" w:hAnsi="Arial"/>
          <w:iCs/>
        </w:rPr>
        <w:t>rá sujeito, sem prejuízo da responsabilidade civil e criminal, às seguintes sanções:</w:t>
      </w:r>
    </w:p>
    <w:p>
      <w:pPr>
        <w:pStyle w:val="Normal"/>
        <w:spacing w:lineRule="auto" w:line="276" w:before="57" w:after="57"/>
        <w:ind w:hanging="0" w:left="0" w:right="0"/>
        <w:jc w:val="both"/>
        <w:rPr>
          <w:rFonts w:ascii="Arial" w:hAnsi="Arial"/>
          <w:iCs/>
        </w:rPr>
      </w:pPr>
      <w:r>
        <w:rPr>
          <w:rFonts w:ascii="Arial" w:hAnsi="Arial"/>
          <w:iCs/>
        </w:rPr>
        <w:t xml:space="preserve">         </w:t>
      </w:r>
      <w:r>
        <w:rPr>
          <w:rFonts w:ascii="Arial" w:hAnsi="Arial"/>
          <w:iCs/>
        </w:rPr>
        <w:t>a) Advertência pela falta do subitem 11.1.1 deste Termo de Referência, quando não se justificar a imposição de penalidade mais grave.</w:t>
      </w:r>
    </w:p>
    <w:p>
      <w:pPr>
        <w:pStyle w:val="Normal"/>
        <w:spacing w:lineRule="auto" w:line="276" w:before="57" w:after="57"/>
        <w:ind w:hanging="0" w:left="0" w:right="0"/>
        <w:jc w:val="both"/>
        <w:rPr/>
      </w:pPr>
      <w:r>
        <w:rPr>
          <w:rFonts w:ascii="Arial" w:hAnsi="Arial"/>
          <w:iCs/>
        </w:rPr>
        <w:t xml:space="preserve">            </w:t>
      </w:r>
      <w:r>
        <w:rPr>
          <w:rFonts w:ascii="Arial" w:hAnsi="Arial"/>
          <w:iCs/>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Arial" w:hAnsi="Arial"/>
          <w:iCs/>
          <w:color w:val="000000"/>
          <w:szCs w:val="20"/>
        </w:rPr>
        <w:t>11</w:t>
      </w:r>
      <w:r>
        <w:rPr>
          <w:rFonts w:ascii="Arial" w:hAnsi="Arial"/>
          <w:iCs/>
        </w:rPr>
        <w:t xml:space="preserve">.1.7 e 20% (vinte por cento), se cometidas infrações previstas nos itens 11.1.8 a 11.1.12; </w:t>
      </w:r>
    </w:p>
    <w:p>
      <w:pPr>
        <w:pStyle w:val="Normal"/>
        <w:spacing w:lineRule="auto" w:line="276" w:before="57" w:after="57"/>
        <w:ind w:hanging="0" w:left="0" w:right="0"/>
        <w:jc w:val="both"/>
        <w:rPr>
          <w:rFonts w:ascii="Arial" w:hAnsi="Arial"/>
          <w:iCs/>
        </w:rPr>
      </w:pPr>
      <w:r>
        <w:rPr>
          <w:rFonts w:ascii="Arial" w:hAnsi="Arial"/>
          <w:iCs/>
        </w:rPr>
        <w:tab/>
        <w:tab/>
        <w:t xml:space="preserve"> b.1) O valor da multa poderá ser descontado das faturas devidas à CONTRATADA;</w:t>
      </w:r>
    </w:p>
    <w:p>
      <w:pPr>
        <w:pStyle w:val="Normal"/>
        <w:spacing w:lineRule="auto" w:line="276" w:before="57" w:after="57"/>
        <w:ind w:hanging="0" w:left="0" w:right="0"/>
        <w:jc w:val="both"/>
        <w:rPr>
          <w:rFonts w:ascii="Arial" w:hAnsi="Arial"/>
          <w:iCs/>
        </w:rPr>
      </w:pPr>
      <w:r>
        <w:rPr>
          <w:rFonts w:ascii="Arial" w:hAnsi="Arial"/>
          <w:iCs/>
        </w:rPr>
        <w:tab/>
        <w:t xml:space="preserve">b.2) A multa pode ser aplicada isoladamente ou juntamente com as penalidades definidas nos itens “c” e “d” abaixo: </w:t>
      </w:r>
    </w:p>
    <w:p>
      <w:pPr>
        <w:pStyle w:val="Normal"/>
        <w:spacing w:lineRule="auto" w:line="276" w:before="57" w:after="57"/>
        <w:ind w:hanging="0" w:left="0" w:right="0"/>
        <w:jc w:val="both"/>
        <w:rPr/>
      </w:pPr>
      <w:r>
        <w:rPr>
          <w:rFonts w:ascii="Arial" w:hAnsi="Arial"/>
          <w:iCs/>
        </w:rPr>
        <w:t xml:space="preserve">        </w:t>
      </w:r>
      <w:r>
        <w:rPr>
          <w:rFonts w:ascii="Arial" w:hAnsi="Arial"/>
          <w:iCs/>
        </w:rPr>
        <w:tab/>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76" w:before="57" w:after="57"/>
        <w:ind w:hanging="0" w:left="0" w:right="0"/>
        <w:jc w:val="both"/>
        <w:rPr>
          <w:rFonts w:ascii="Arial" w:hAnsi="Arial"/>
          <w:iCs/>
        </w:rPr>
      </w:pPr>
      <w:r>
        <w:rPr>
          <w:rFonts w:ascii="Arial" w:hAnsi="Arial"/>
          <w:iCs/>
        </w:rPr>
        <w:t xml:space="preserve">         </w:t>
      </w:r>
      <w:r>
        <w:rPr>
          <w:rFonts w:ascii="Arial" w:hAnsi="Arial"/>
          <w:iCs/>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.3. Na aplicação das sanções serão considerados:</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.3.1. A natureza e a gravidade da infração cometida.</w:t>
      </w:r>
    </w:p>
    <w:p>
      <w:pPr>
        <w:pStyle w:val="Normal"/>
        <w:spacing w:lineRule="auto" w:line="276" w:before="57" w:after="57"/>
        <w:ind w:hanging="0" w:left="0" w:right="0"/>
        <w:jc w:val="both"/>
        <w:rPr>
          <w:rFonts w:ascii="Arial" w:hAnsi="Arial"/>
          <w:b w:val="false"/>
          <w:bCs w:val="false"/>
          <w:iCs/>
        </w:rPr>
      </w:pPr>
      <w:r>
        <w:rPr>
          <w:rFonts w:ascii="Arial" w:hAnsi="Arial"/>
          <w:b w:val="false"/>
          <w:bCs w:val="false"/>
          <w:iCs/>
        </w:rPr>
        <w:t>11.3.2. As peculiaridades do caso concreto.</w:t>
      </w:r>
    </w:p>
    <w:p>
      <w:pPr>
        <w:pStyle w:val="Normal"/>
        <w:spacing w:lineRule="auto" w:line="276" w:before="57" w:after="57"/>
        <w:ind w:hanging="0" w:left="0" w:right="0"/>
        <w:jc w:val="both"/>
        <w:rPr>
          <w:rFonts w:ascii="Arial" w:hAnsi="Arial"/>
          <w:b w:val="false"/>
          <w:bCs w:val="false"/>
          <w:iCs/>
        </w:rPr>
      </w:pPr>
      <w:r>
        <w:rPr>
          <w:rFonts w:ascii="Arial" w:hAnsi="Arial"/>
          <w:b w:val="false"/>
          <w:bCs w:val="false"/>
          <w:iCs/>
        </w:rPr>
        <w:t>11.3.3. As circunstâncias agravantes ou atenuantes.</w:t>
      </w:r>
    </w:p>
    <w:p>
      <w:pPr>
        <w:pStyle w:val="Normal"/>
        <w:spacing w:lineRule="auto" w:line="276" w:before="57" w:after="57"/>
        <w:ind w:hanging="0" w:left="0" w:right="0"/>
        <w:jc w:val="both"/>
        <w:rPr>
          <w:rFonts w:ascii="Arial" w:hAnsi="Arial"/>
          <w:b w:val="false"/>
          <w:bCs w:val="false"/>
          <w:iCs/>
        </w:rPr>
      </w:pPr>
      <w:r>
        <w:rPr>
          <w:rFonts w:ascii="Arial" w:hAnsi="Arial"/>
          <w:b w:val="false"/>
          <w:bCs w:val="false"/>
          <w:iCs/>
        </w:rPr>
        <w:t>11.3.4. Os danos que dela provierem para a Administração Pública.</w:t>
      </w:r>
    </w:p>
    <w:p>
      <w:pPr>
        <w:pStyle w:val="Normal"/>
        <w:spacing w:lineRule="auto" w:line="276" w:before="57" w:after="57"/>
        <w:ind w:hanging="0" w:left="0" w:right="0"/>
        <w:jc w:val="both"/>
        <w:rPr/>
      </w:pPr>
      <w:r>
        <w:rPr>
          <w:rFonts w:eastAsia="Times New Roman" w:cs="Times New Roman" w:ascii="Arial" w:hAnsi="Arial"/>
          <w:b w:val="false"/>
          <w:bCs w:val="false"/>
          <w:iCs/>
          <w:color w:val="000000"/>
          <w:szCs w:val="20"/>
        </w:rPr>
        <w:t>11</w:t>
      </w:r>
      <w:r>
        <w:rPr>
          <w:rFonts w:ascii="Arial" w:hAnsi="Arial"/>
          <w:b w:val="false"/>
          <w:bCs w:val="false"/>
          <w:iCs/>
        </w:rPr>
        <w:t>.3.5. A implantação ou o aperfeiçoamento de programa de integridade, conforme normas e orientações dos órgãos de controle.</w:t>
      </w:r>
    </w:p>
    <w:p>
      <w:pPr>
        <w:pStyle w:val="Normal"/>
        <w:spacing w:lineRule="auto" w:line="276" w:before="57" w:after="57"/>
        <w:ind w:hanging="0" w:left="0" w:right="0"/>
        <w:jc w:val="both"/>
        <w:rPr>
          <w:rFonts w:ascii="Arial" w:hAnsi="Arial"/>
          <w:b w:val="false"/>
          <w:bCs w:val="false"/>
          <w:iCs/>
        </w:rPr>
      </w:pPr>
      <w:r>
        <w:rPr>
          <w:rFonts w:ascii="Arial" w:hAnsi="Arial"/>
          <w:b w:val="false"/>
          <w:bCs w:val="false"/>
          <w:iCs/>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before="57" w:after="57"/>
        <w:ind w:hanging="0" w:left="0" w:right="0"/>
        <w:jc w:val="both"/>
        <w:rPr/>
      </w:pPr>
      <w:r>
        <w:rPr>
          <w:rFonts w:ascii="Arial" w:hAnsi="Arial"/>
          <w:b w:val="false"/>
          <w:bCs w:val="false"/>
          <w:iCs/>
          <w:lang w:eastAsia="en-US"/>
        </w:rPr>
        <w:t xml:space="preserve">11.5. </w:t>
      </w:r>
      <w:r>
        <w:rPr>
          <w:rFonts w:ascii="Arial" w:hAnsi="Arial"/>
          <w:iCs/>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before="57" w:after="57"/>
        <w:ind w:hanging="0" w:left="0" w:right="0"/>
        <w:jc w:val="both"/>
        <w:rPr>
          <w:rFonts w:ascii="Arial" w:hAnsi="Arial" w:cs="Arial"/>
          <w:b/>
          <w:u w:val="single"/>
        </w:rPr>
      </w:pPr>
      <w:r>
        <w:rPr>
          <w:rFonts w:cs="Arial" w:ascii="Arial" w:hAnsi="Arial"/>
          <w:b/>
          <w:u w:val="single"/>
        </w:rPr>
      </w:r>
    </w:p>
    <w:p>
      <w:pPr>
        <w:pStyle w:val="Normal"/>
        <w:spacing w:lineRule="auto" w:line="276" w:before="57" w:after="57"/>
        <w:ind w:hanging="0" w:left="0" w:right="0"/>
        <w:jc w:val="both"/>
        <w:rPr>
          <w:rFonts w:ascii="Arial" w:hAnsi="Arial"/>
          <w:b/>
          <w:bCs/>
          <w:lang w:eastAsia="en-US"/>
        </w:rPr>
      </w:pPr>
      <w:r>
        <w:rPr>
          <w:rFonts w:ascii="Arial" w:hAnsi="Arial"/>
          <w:b/>
          <w:bCs/>
          <w:lang w:eastAsia="en-US"/>
        </w:rPr>
        <w:t>12. DA HABILITAÇÃO</w:t>
      </w:r>
    </w:p>
    <w:p>
      <w:pPr>
        <w:pStyle w:val="Nivel011"/>
        <w:tabs>
          <w:tab w:val="left" w:pos="517" w:leader="none"/>
          <w:tab w:val="left" w:pos="567" w:leader="none"/>
          <w:tab w:val="left" w:pos="683" w:leader="none"/>
        </w:tabs>
        <w:spacing w:lineRule="auto" w:line="276" w:before="57" w:after="57"/>
        <w:ind w:hanging="0" w:left="0" w:right="0"/>
        <w:rPr>
          <w:rFonts w:ascii="Arial" w:hAnsi="Arial" w:cs="Verdana"/>
          <w:b w:val="false"/>
          <w:bCs w:val="false"/>
          <w:sz w:val="24"/>
          <w:szCs w:val="24"/>
          <w:lang w:eastAsia="ar-SA"/>
        </w:rPr>
      </w:pPr>
      <w:r>
        <w:rPr>
          <w:rFonts w:cs="Verdana" w:ascii="Arial" w:hAnsi="Arial"/>
          <w:b w:val="false"/>
          <w:bCs w:val="false"/>
          <w:sz w:val="24"/>
          <w:szCs w:val="24"/>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right="0"/>
        <w:contextualSpacing w:val="false"/>
        <w:jc w:val="both"/>
        <w:rPr>
          <w:rFonts w:ascii="Arial" w:hAnsi="Arial" w:cs="Verdana"/>
          <w:b w:val="false"/>
          <w:bCs w:val="false"/>
          <w:sz w:val="24"/>
          <w:szCs w:val="24"/>
          <w:lang w:eastAsia="ar-SA"/>
        </w:rPr>
      </w:pPr>
      <w:r>
        <w:rPr>
          <w:rFonts w:cs="Verdana" w:ascii="Arial" w:hAnsi="Arial"/>
          <w:b w:val="false"/>
          <w:bCs w:val="false"/>
          <w:sz w:val="24"/>
          <w:szCs w:val="24"/>
          <w:lang w:eastAsia="ar-SA"/>
        </w:rPr>
        <w:t>a) SICAF;</w:t>
      </w:r>
    </w:p>
    <w:p>
      <w:pPr>
        <w:pStyle w:val="ListParagraph"/>
        <w:spacing w:lineRule="auto" w:line="276" w:before="57" w:after="57"/>
        <w:ind w:hanging="0" w:left="0" w:right="0"/>
        <w:contextualSpacing w:val="false"/>
        <w:jc w:val="both"/>
        <w:rPr/>
      </w:pPr>
      <w:r>
        <w:rPr>
          <w:rFonts w:cs="Verdana" w:ascii="Arial" w:hAnsi="Arial"/>
          <w:b w:val="false"/>
          <w:bCs w:val="false"/>
          <w:sz w:val="24"/>
          <w:szCs w:val="24"/>
          <w:lang w:eastAsia="ar-SA"/>
        </w:rPr>
        <w:t>b) Cadastro Nacional de Empresas Inidôneas e Suspensas – CEIS, mantido pela Controladoria-Geral da União (</w:t>
      </w:r>
      <w:hyperlink r:id="rId3">
        <w:r>
          <w:rPr>
            <w:rStyle w:val="ListLabel3"/>
            <w:rFonts w:cs="Verdana" w:ascii="Arial" w:hAnsi="Arial"/>
            <w:b w:val="false"/>
            <w:bCs w:val="false"/>
            <w:color w:val="000080"/>
            <w:sz w:val="24"/>
            <w:szCs w:val="24"/>
            <w:u w:val="single"/>
            <w:lang w:eastAsia="ar-SA"/>
          </w:rPr>
          <w:t>www.portaldatransparencia.gov.br/ceis</w:t>
        </w:r>
      </w:hyperlink>
      <w:r>
        <w:rPr>
          <w:rFonts w:cs="Verdana" w:ascii="Arial" w:hAnsi="Arial"/>
          <w:b w:val="false"/>
          <w:bCs w:val="false"/>
          <w:sz w:val="24"/>
          <w:szCs w:val="24"/>
          <w:lang w:eastAsia="ar-SA"/>
        </w:rPr>
        <w:t>);</w:t>
      </w:r>
    </w:p>
    <w:p>
      <w:pPr>
        <w:pStyle w:val="ListParagraph"/>
        <w:spacing w:lineRule="auto" w:line="276" w:before="57" w:after="57"/>
        <w:ind w:hanging="0" w:left="0" w:right="0"/>
        <w:contextualSpacing w:val="false"/>
        <w:jc w:val="both"/>
        <w:rPr/>
      </w:pPr>
      <w:r>
        <w:rPr>
          <w:rFonts w:cs="Verdana" w:ascii="Arial" w:hAnsi="Arial"/>
          <w:b w:val="false"/>
          <w:bCs w:val="false"/>
          <w:sz w:val="24"/>
          <w:szCs w:val="24"/>
          <w:lang w:eastAsia="ar-SA"/>
        </w:rPr>
        <w:t>c) Cadastro Nacional de Condenações Cíveis por Atos de Improbidade Administrativa, mantido pelo Conselho Nacional de Justiça (</w:t>
      </w:r>
      <w:hyperlink r:id="rId4">
        <w:r>
          <w:rPr>
            <w:rStyle w:val="ListLabel3"/>
            <w:rFonts w:cs="Verdana" w:ascii="Arial" w:hAnsi="Arial"/>
            <w:b w:val="false"/>
            <w:bCs w:val="false"/>
            <w:color w:val="000080"/>
            <w:sz w:val="24"/>
            <w:szCs w:val="24"/>
            <w:u w:val="single"/>
            <w:lang w:eastAsia="ar-SA"/>
          </w:rPr>
          <w:t>www.cnj.jus.br/improbidade_adm/consultar_requerido.php</w:t>
        </w:r>
      </w:hyperlink>
      <w:r>
        <w:rPr>
          <w:rFonts w:cs="Verdana" w:ascii="Arial" w:hAnsi="Arial"/>
          <w:b w:val="false"/>
          <w:bCs w:val="false"/>
          <w:sz w:val="24"/>
          <w:szCs w:val="24"/>
          <w:lang w:eastAsia="ar-SA"/>
        </w:rPr>
        <w:t>).</w:t>
      </w:r>
    </w:p>
    <w:p>
      <w:pPr>
        <w:pStyle w:val="ListParagraph"/>
        <w:spacing w:lineRule="auto" w:line="276" w:before="57" w:after="57"/>
        <w:ind w:hanging="0" w:left="0" w:right="0"/>
        <w:contextualSpacing w:val="false"/>
        <w:jc w:val="both"/>
        <w:rPr>
          <w:rFonts w:ascii="Arial" w:hAnsi="Arial" w:cs="Verdana"/>
          <w:b w:val="false"/>
          <w:bCs w:val="false"/>
          <w:sz w:val="24"/>
          <w:szCs w:val="24"/>
          <w:lang w:eastAsia="ar-SA"/>
        </w:rPr>
      </w:pPr>
      <w:r>
        <w:rPr>
          <w:rFonts w:cs="Verdana" w:ascii="Arial" w:hAnsi="Arial"/>
          <w:b w:val="false"/>
          <w:bCs w:val="false"/>
          <w:sz w:val="24"/>
          <w:szCs w:val="24"/>
          <w:lang w:eastAsia="ar-SA"/>
        </w:rPr>
        <w:t>d) Cadastro de Inidôneos e o Cadastro Integrado de Condenações por Ilícitos Administrativos – CADICON, mantidos pelo Tribunal de Contas da União – TCU;</w:t>
      </w:r>
    </w:p>
    <w:p>
      <w:pPr>
        <w:pStyle w:val="Normal"/>
        <w:spacing w:lineRule="auto" w:line="276" w:before="57" w:after="57"/>
        <w:ind w:hanging="0" w:left="0" w:right="0"/>
        <w:jc w:val="both"/>
        <w:rPr/>
      </w:pPr>
      <w:r>
        <w:rPr>
          <w:rFonts w:cs="Verdana" w:ascii="Arial" w:hAnsi="Arial"/>
          <w:b w:val="false"/>
          <w:bCs w:val="false"/>
          <w:lang w:eastAsia="ar-SA"/>
        </w:rPr>
        <w:t>e) Cadastro de empresas inid</w:t>
      </w:r>
      <w:r>
        <w:rPr>
          <w:rFonts w:cs="Verdana" w:ascii="Arial" w:hAnsi="Arial"/>
          <w:b w:val="false"/>
          <w:bCs w:val="false"/>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4"/>
            <w:rFonts w:cs="Verdana" w:ascii="Arial" w:hAnsi="Arial"/>
            <w:b w:val="false"/>
            <w:bCs w:val="false"/>
            <w:color w:val="000080"/>
            <w:u w:val="single"/>
          </w:rPr>
          <w:t>https://www.tcees.tc.br/portal-da-transparencia/consultas/lista-de</w:t>
        </w:r>
      </w:hyperlink>
      <w:r>
        <w:rPr>
          <w:rFonts w:cs="Verdana" w:ascii="Arial" w:hAnsi="Arial"/>
          <w:b w:val="false"/>
          <w:bCs w:val="false"/>
        </w:rPr>
        <w:t xml:space="preserve"> responsáveis/proibidos-de-contratar/).</w:t>
      </w:r>
    </w:p>
    <w:p>
      <w:pPr>
        <w:pStyle w:val="Normal"/>
        <w:spacing w:lineRule="auto" w:line="276" w:before="57" w:after="57"/>
        <w:ind w:hanging="0" w:left="0" w:right="0"/>
        <w:jc w:val="both"/>
        <w:rPr/>
      </w:pPr>
      <w:r>
        <w:rPr>
          <w:rFonts w:cs="Verdana" w:ascii="Arial" w:hAnsi="Arial"/>
          <w:b w:val="false"/>
          <w:bCs w:val="false"/>
          <w:lang w:eastAsia="ar-SA"/>
        </w:rPr>
        <w:t xml:space="preserve">12.1.1. </w:t>
      </w:r>
      <w:r>
        <w:rPr>
          <w:rFonts w:cs="Verdana" w:ascii="Arial" w:hAnsi="Arial"/>
          <w:lang w:eastAsia="ar-SA"/>
        </w:rPr>
        <w:t>Para a consulta de licitantes pessoa jurídica poderá haver a substituição das consultas das alíneas “b”, “c” e “d” acima pela Consulta Consolidada de Pessoa Jurídica do TCU (</w:t>
      </w:r>
      <w:hyperlink r:id="rId6">
        <w:r>
          <w:rPr>
            <w:rStyle w:val="ListLabel5"/>
            <w:rFonts w:cs="Verdana" w:ascii="Arial" w:hAnsi="Arial"/>
            <w:color w:val="000080"/>
            <w:u w:val="single"/>
            <w:lang w:eastAsia="ar-SA"/>
          </w:rPr>
          <w:t>https://certidoesapf.apps.tcu.gov.br/</w:t>
        </w:r>
      </w:hyperlink>
      <w:r>
        <w:rPr>
          <w:rFonts w:cs="Verdana" w:ascii="Arial" w:hAnsi="Arial"/>
          <w:lang w:eastAsia="ar-SA"/>
        </w:rPr>
        <w:t>);</w:t>
      </w:r>
    </w:p>
    <w:p>
      <w:pPr>
        <w:pStyle w:val="Normal"/>
        <w:spacing w:lineRule="auto" w:line="276" w:before="57" w:after="57"/>
        <w:ind w:hanging="0" w:left="0" w:right="0"/>
        <w:jc w:val="both"/>
        <w:rPr>
          <w:rFonts w:ascii="Arial" w:hAnsi="Arial" w:cs="Verdana"/>
          <w:b w:val="false"/>
          <w:bCs w:val="false"/>
          <w:color w:val="000000"/>
        </w:rPr>
      </w:pPr>
      <w:r>
        <w:rPr>
          <w:rFonts w:cs="Verdana" w:ascii="Arial" w:hAnsi="Arial"/>
          <w:b w:val="false"/>
          <w:bCs w:val="false"/>
          <w:color w:val="00000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right="0"/>
        <w:contextualSpacing w:val="false"/>
        <w:jc w:val="both"/>
        <w:rPr/>
      </w:pPr>
      <w:r>
        <w:rPr>
          <w:rFonts w:cs="Verdana" w:ascii="Arial" w:hAnsi="Arial"/>
          <w:b w:val="false"/>
          <w:bCs w:val="false"/>
          <w:color w:val="000000"/>
          <w:sz w:val="24"/>
          <w:szCs w:val="24"/>
        </w:rPr>
        <w:t>12.1.2.1</w:t>
      </w:r>
      <w:r>
        <w:rPr>
          <w:rFonts w:cs="Verdana" w:ascii="Arial" w:hAnsi="Arial"/>
          <w:b/>
          <w:bCs/>
          <w:color w:val="000000"/>
          <w:sz w:val="24"/>
          <w:szCs w:val="24"/>
        </w:rPr>
        <w:t>.</w:t>
      </w:r>
      <w:r>
        <w:rPr>
          <w:rFonts w:cs="Verdana" w:ascii="Arial" w:hAnsi="Arial"/>
          <w:bCs/>
          <w:color w:val="000000"/>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12.1.2.3. O licitante será convocado para manifestação previamente à sua desclassificação.</w:t>
      </w:r>
    </w:p>
    <w:p>
      <w:pPr>
        <w:pStyle w:val="ListParagraph"/>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12.1.3 .Constatada a existência de sanção, o Pregoeiro reputará o licitante inabilitado, por falta de condição de participação.</w:t>
      </w:r>
    </w:p>
    <w:p>
      <w:pPr>
        <w:pStyle w:val="ListParagraph"/>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76" w:before="57" w:after="57"/>
        <w:ind w:hanging="0" w:left="0" w:right="0"/>
        <w:contextualSpacing w:val="false"/>
        <w:jc w:val="both"/>
        <w:rPr/>
      </w:pPr>
      <w:r>
        <w:rPr>
          <w:rFonts w:cs="Verdana" w:ascii="Arial" w:hAnsi="Arial"/>
          <w:b w:val="false"/>
          <w:bCs w:val="false"/>
          <w:sz w:val="24"/>
          <w:szCs w:val="24"/>
          <w:lang w:eastAsia="ar-SA"/>
        </w:rPr>
        <w:t xml:space="preserve">12.2. </w:t>
      </w:r>
      <w:r>
        <w:rPr>
          <w:rFonts w:cs="Verdana" w:ascii="Arial" w:hAnsi="Arial"/>
          <w:b w:val="false"/>
          <w:bCs w:val="false"/>
          <w:color w:val="000000"/>
          <w:sz w:val="24"/>
          <w:szCs w:val="24"/>
        </w:rPr>
        <w:t xml:space="preserve">Caso atendidas as condições de participação, </w:t>
      </w:r>
      <w:r>
        <w:rPr>
          <w:rFonts w:cs="Verdana" w:ascii="Arial" w:hAnsi="Arial"/>
          <w:b w:val="false"/>
          <w:bCs w:val="false"/>
          <w:sz w:val="24"/>
          <w:szCs w:val="24"/>
        </w:rPr>
        <w:t>a habilitação dos licitantes será verificada por meio do SICAF, nos documentos por ele abrangidos</w:t>
      </w:r>
      <w:r>
        <w:rPr>
          <w:rFonts w:cs="Verdana" w:ascii="Arial" w:hAnsi="Arial"/>
          <w:b w:val="false"/>
          <w:bCs w:val="false"/>
          <w:sz w:val="24"/>
          <w:szCs w:val="24"/>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57" w:after="57"/>
        <w:ind w:hanging="0" w:left="0" w:right="0"/>
        <w:contextualSpacing w:val="false"/>
        <w:jc w:val="both"/>
        <w:rPr>
          <w:rFonts w:ascii="Arial" w:hAnsi="Arial" w:cs="Verdana"/>
          <w:b w:val="false"/>
          <w:bCs w:val="false"/>
          <w:sz w:val="24"/>
          <w:szCs w:val="24"/>
          <w:lang w:eastAsia="ar-SA"/>
        </w:rPr>
      </w:pPr>
      <w:r>
        <w:rPr>
          <w:rFonts w:cs="Verdana" w:ascii="Arial" w:hAnsi="Arial"/>
          <w:b w:val="false"/>
          <w:bCs w:val="false"/>
          <w:sz w:val="24"/>
          <w:szCs w:val="24"/>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76" w:before="57" w:after="57"/>
        <w:ind w:hanging="0" w:left="0" w:right="0"/>
        <w:contextualSpacing w:val="false"/>
        <w:jc w:val="both"/>
        <w:rPr/>
      </w:pPr>
      <w:r>
        <w:rPr>
          <w:rFonts w:cs="Verdana" w:ascii="Arial" w:hAnsi="Arial"/>
          <w:b w:val="false"/>
          <w:bCs w:val="false"/>
          <w:color w:val="000000"/>
        </w:rPr>
        <w:t>12.3. Ha</w:t>
      </w:r>
      <w:r>
        <w:rPr>
          <w:rFonts w:cs="Verdana" w:ascii="Arial" w:hAnsi="Arial"/>
          <w:color w:val="000000"/>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76" w:before="57" w:after="57"/>
        <w:ind w:hanging="0" w:left="0" w:right="0"/>
        <w:contextualSpacing w:val="false"/>
        <w:jc w:val="both"/>
        <w:rPr/>
      </w:pPr>
      <w:r>
        <w:rPr>
          <w:rFonts w:cs="Verdana" w:ascii="Arial" w:hAnsi="Arial"/>
          <w:b w:val="false"/>
          <w:bCs w:val="false"/>
        </w:rPr>
        <w:t>12.4 Somente haverá a necessidade de comprovação do preenchimento de requisitos mediante apresentação dos documentos originais não-digitais quando houver dúvida em relação à integridade do documento digital.</w:t>
      </w:r>
    </w:p>
    <w:p>
      <w:pPr>
        <w:pStyle w:val="PADRO"/>
        <w:widowControl/>
        <w:shd w:fill="FFFFFF" w:val="clear"/>
        <w:tabs>
          <w:tab w:val="clear" w:pos="708"/>
          <w:tab w:val="left" w:pos="567" w:leader="none"/>
        </w:tabs>
        <w:spacing w:lineRule="auto" w:line="276" w:before="57" w:after="57"/>
        <w:ind w:hanging="0" w:left="0" w:right="0"/>
        <w:rPr>
          <w:rFonts w:ascii="Arial" w:hAnsi="Arial" w:cs="Verdana"/>
          <w:b w:val="false"/>
          <w:bCs w:val="false"/>
        </w:rPr>
      </w:pPr>
      <w:r>
        <w:rPr>
          <w:rFonts w:cs="Verdana" w:ascii="Arial" w:hAnsi="Arial"/>
          <w:b w:val="false"/>
          <w:bCs w:val="false"/>
        </w:rPr>
        <w:t>12.5 Não serão aceitos documentos de habilitação com indicação de CNPJ/CPF diferentes, salvo aqueles legalmente permitidos.</w:t>
      </w:r>
    </w:p>
    <w:p>
      <w:pPr>
        <w:pStyle w:val="PADRO"/>
        <w:widowControl/>
        <w:shd w:fill="FFFFFF" w:val="clear"/>
        <w:tabs>
          <w:tab w:val="clear" w:pos="708"/>
          <w:tab w:val="left" w:pos="567" w:leader="none"/>
        </w:tabs>
        <w:spacing w:lineRule="auto" w:line="276" w:before="57" w:after="57"/>
        <w:ind w:hanging="0" w:left="0" w:right="0"/>
        <w:rPr>
          <w:rFonts w:ascii="Arial" w:hAnsi="Arial" w:cs="Verdana"/>
          <w:b w:val="false"/>
          <w:bCs w:val="false"/>
        </w:rPr>
      </w:pPr>
      <w:r>
        <w:rPr>
          <w:rFonts w:cs="Verdana" w:ascii="Arial" w:hAnsi="Arial"/>
          <w:b w:val="false"/>
          <w:bCs w:val="false"/>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fill="FFFFFF" w:val="clear"/>
        <w:tabs>
          <w:tab w:val="clear" w:pos="708"/>
          <w:tab w:val="left" w:pos="567" w:leader="none"/>
        </w:tabs>
        <w:spacing w:lineRule="auto" w:line="276" w:before="57" w:after="57"/>
        <w:ind w:hanging="0" w:left="0" w:right="0"/>
        <w:rPr/>
      </w:pPr>
      <w:r>
        <w:rPr>
          <w:rFonts w:cs="Verdana" w:ascii="Arial" w:hAnsi="Arial"/>
          <w:b w:val="false"/>
          <w:bCs w:val="false"/>
        </w:rPr>
        <w:t>12.7 Ress</w:t>
      </w:r>
      <w:r>
        <w:rPr>
          <w:rFonts w:cs="Verdana" w:ascii="Arial" w:hAnsi="Arial"/>
        </w:rPr>
        <w:t>alvado o disposto no item 5.3, os licitantes deverão encaminhar, nos termos deste Edital, a documentação relacionada nos itens a seguir, para fins de habilitação:</w:t>
      </w:r>
    </w:p>
    <w:p>
      <w:pPr>
        <w:pStyle w:val="ListParagraph"/>
        <w:spacing w:lineRule="auto" w:line="276" w:before="57" w:after="57"/>
        <w:ind w:hanging="0" w:left="0" w:right="0"/>
        <w:contextualSpacing w:val="false"/>
        <w:jc w:val="both"/>
        <w:rPr>
          <w:rFonts w:ascii="Arial" w:hAnsi="Arial" w:cs="Verdana"/>
          <w:b/>
          <w:bCs/>
          <w:color w:val="000000"/>
          <w:sz w:val="24"/>
          <w:szCs w:val="24"/>
        </w:rPr>
      </w:pPr>
      <w:r>
        <w:rPr>
          <w:rFonts w:cs="Verdana" w:ascii="Arial" w:hAnsi="Arial"/>
          <w:b/>
          <w:bCs/>
          <w:color w:val="000000"/>
          <w:sz w:val="24"/>
          <w:szCs w:val="24"/>
        </w:rPr>
        <w:t>12.8 Habilitação jurídica:</w:t>
      </w:r>
    </w:p>
    <w:p>
      <w:pPr>
        <w:pStyle w:val="ListParagraph"/>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12.8.1 No caso de empresário individual: inscrição no Registro Público de Empresas Mercantis, a cargo da Junta Comercial da respectiva sede.</w:t>
      </w:r>
    </w:p>
    <w:p>
      <w:pPr>
        <w:pStyle w:val="ListParagraph"/>
        <w:spacing w:lineRule="auto" w:line="276" w:before="57" w:after="57"/>
        <w:ind w:hanging="0" w:left="0" w:right="0"/>
        <w:contextualSpacing w:val="false"/>
        <w:jc w:val="both"/>
        <w:rPr/>
      </w:pPr>
      <w:r>
        <w:rPr>
          <w:rFonts w:cs="Verdana" w:ascii="Arial" w:hAnsi="Arial"/>
          <w:b w:val="false"/>
          <w:bCs w:val="false"/>
          <w:color w:val="000000"/>
          <w:sz w:val="24"/>
          <w:szCs w:val="24"/>
        </w:rPr>
        <w:t xml:space="preserve">12.8.2 Em se tratando de microempreendedor individual – MEI: Certificado da Condição de Microempreendedor Individual – CCMEI, cuja aceitação ficará condicionada à verificação da autenticidade no sítio </w:t>
      </w:r>
      <w:hyperlink r:id="rId7">
        <w:r>
          <w:rPr>
            <w:rStyle w:val="ListLabel6"/>
            <w:rFonts w:cs="Verdana" w:ascii="Arial" w:hAnsi="Arial"/>
            <w:b w:val="false"/>
            <w:bCs w:val="false"/>
            <w:color w:val="000000"/>
            <w:sz w:val="24"/>
            <w:szCs w:val="24"/>
            <w:u w:val="single"/>
          </w:rPr>
          <w:t>www.portaldoempreendedor.gov.br</w:t>
        </w:r>
      </w:hyperlink>
      <w:r>
        <w:rPr>
          <w:rFonts w:cs="Verdana" w:ascii="Arial" w:hAnsi="Arial"/>
          <w:b w:val="false"/>
          <w:bCs w:val="false"/>
          <w:color w:val="000000"/>
          <w:sz w:val="24"/>
          <w:szCs w:val="24"/>
          <w:u w:val="single"/>
        </w:rPr>
        <w:t>.</w:t>
      </w:r>
    </w:p>
    <w:p>
      <w:pPr>
        <w:pStyle w:val="ListParagraph"/>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12.8.4 Inscrição no Registro Público de Empresas Mercantis onde opera, com averbação no Registro onde tem sede a matriz, no caso de ser o participante sucursal, filial ou agência.</w:t>
      </w:r>
    </w:p>
    <w:p>
      <w:pPr>
        <w:pStyle w:val="ListParagraph"/>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12.8.5 No caso de sociedade simples: inscrição do ato constitutivo no Registro Civil das Pessoas Jurídicas do local de sua sede, acompanhada de prova da indicação dos seus administradores.</w:t>
      </w:r>
    </w:p>
    <w:p>
      <w:pPr>
        <w:pStyle w:val="ListParagraph"/>
        <w:spacing w:lineRule="auto" w:line="276" w:before="57" w:after="57"/>
        <w:ind w:hanging="0" w:left="0" w:right="0"/>
        <w:contextualSpacing w:val="false"/>
        <w:jc w:val="both"/>
        <w:rPr>
          <w:rFonts w:ascii="Arial" w:hAnsi="Arial" w:cs="Verdana"/>
          <w:b w:val="false"/>
          <w:bCs w:val="false"/>
          <w:color w:val="000000"/>
          <w:sz w:val="24"/>
          <w:szCs w:val="24"/>
        </w:rPr>
      </w:pPr>
      <w:r>
        <w:rPr>
          <w:rFonts w:cs="Verdana" w:ascii="Arial" w:hAnsi="Arial"/>
          <w:b w:val="false"/>
          <w:bCs w:val="false"/>
          <w:color w:val="000000"/>
          <w:sz w:val="24"/>
          <w:szCs w:val="24"/>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57" w:after="57"/>
        <w:ind w:hanging="0" w:left="0" w:right="0"/>
        <w:contextualSpacing w:val="false"/>
        <w:jc w:val="both"/>
        <w:rPr/>
      </w:pPr>
      <w:r>
        <w:rPr>
          <w:rFonts w:cs="Verdana" w:ascii="Arial" w:hAnsi="Arial"/>
          <w:b w:val="false"/>
          <w:bCs w:val="false"/>
          <w:color w:val="000000"/>
          <w:sz w:val="24"/>
          <w:szCs w:val="24"/>
        </w:rPr>
        <w:t>12.8.7 No</w:t>
      </w:r>
      <w:r>
        <w:rPr>
          <w:rFonts w:cs="Verdana" w:ascii="Arial" w:hAnsi="Arial"/>
          <w:bCs/>
          <w:color w:val="000000"/>
          <w:sz w:val="24"/>
          <w:szCs w:val="24"/>
        </w:rPr>
        <w:t xml:space="preserve"> caso de empresa ou sociedade estrangeira em funcionamento no País: decreto de autorização.</w:t>
      </w:r>
    </w:p>
    <w:p>
      <w:pPr>
        <w:pStyle w:val="ListParagraph"/>
        <w:spacing w:lineRule="auto" w:line="276" w:before="57" w:after="57"/>
        <w:ind w:hanging="0" w:left="0" w:right="0"/>
        <w:contextualSpacing w:val="false"/>
        <w:jc w:val="both"/>
        <w:rPr/>
      </w:pPr>
      <w:r>
        <w:rPr>
          <w:rFonts w:cs="Verdana" w:ascii="Arial" w:hAnsi="Arial"/>
          <w:b w:val="false"/>
          <w:bCs w:val="false"/>
          <w:color w:val="000000"/>
          <w:sz w:val="24"/>
          <w:szCs w:val="24"/>
        </w:rPr>
        <w:t>12.8.8 Os documentos acima deverão estar acompanhados de todas as alterações ou da con</w:t>
      </w:r>
      <w:r>
        <w:rPr>
          <w:rFonts w:cs="Verdana" w:ascii="Arial" w:hAnsi="Arial"/>
          <w:bCs/>
          <w:color w:val="000000"/>
          <w:sz w:val="24"/>
          <w:szCs w:val="24"/>
        </w:rPr>
        <w:t>solidação respectiva.</w:t>
      </w:r>
    </w:p>
    <w:p>
      <w:pPr>
        <w:pStyle w:val="ListParagraph"/>
        <w:spacing w:lineRule="auto" w:line="276" w:before="57" w:after="57"/>
        <w:ind w:hanging="0" w:left="0" w:right="0"/>
        <w:contextualSpacing w:val="false"/>
        <w:jc w:val="both"/>
        <w:rPr/>
      </w:pPr>
      <w:r>
        <w:rPr>
          <w:rFonts w:cs="Verdana" w:ascii="Arial" w:hAnsi="Arial"/>
          <w:b/>
          <w:bCs/>
          <w:color w:val="000000"/>
          <w:sz w:val="24"/>
          <w:szCs w:val="24"/>
        </w:rPr>
        <w:t xml:space="preserve">12.9 Regularidade fiscal </w:t>
      </w:r>
      <w:r>
        <w:rPr>
          <w:rFonts w:cs="Verdana" w:ascii="Arial" w:hAnsi="Arial"/>
          <w:b/>
          <w:bCs/>
          <w:sz w:val="24"/>
          <w:szCs w:val="24"/>
        </w:rPr>
        <w:t>e trabalhista</w:t>
      </w:r>
      <w:r>
        <w:rPr>
          <w:rFonts w:cs="Verdana" w:ascii="Arial" w:hAnsi="Arial"/>
          <w:b/>
          <w:bCs/>
          <w:color w:val="0000FF"/>
          <w:sz w:val="24"/>
          <w:szCs w:val="24"/>
        </w:rPr>
        <w:t>:</w:t>
      </w:r>
    </w:p>
    <w:p>
      <w:pPr>
        <w:pStyle w:val="Normal"/>
        <w:spacing w:lineRule="auto" w:line="276" w:before="57" w:after="57"/>
        <w:ind w:hanging="0" w:left="0" w:right="0"/>
        <w:jc w:val="both"/>
        <w:rPr>
          <w:rFonts w:ascii="Arial" w:hAnsi="Arial" w:cs="Verdana"/>
          <w:b w:val="false"/>
          <w:bCs w:val="false"/>
          <w:lang w:eastAsia="en-US"/>
        </w:rPr>
      </w:pPr>
      <w:r>
        <w:rPr>
          <w:rFonts w:cs="Verdana" w:ascii="Arial" w:hAnsi="Arial"/>
          <w:b w:val="false"/>
          <w:bCs w:val="false"/>
          <w:lang w:eastAsia="en-US"/>
        </w:rPr>
        <w:t>12.9.1 Prova de inscrição no Cadastro Nacional de Pessoas Jurídicas ou no Cadastro de Pessoas Físicas, conforme o caso.</w:t>
      </w:r>
    </w:p>
    <w:p>
      <w:pPr>
        <w:pStyle w:val="Normal"/>
        <w:spacing w:lineRule="auto" w:line="276" w:before="57" w:after="57"/>
        <w:ind w:hanging="0" w:left="0" w:right="0"/>
        <w:jc w:val="both"/>
        <w:rPr>
          <w:rFonts w:ascii="Arial" w:hAnsi="Arial" w:cs="Verdana"/>
          <w:b w:val="false"/>
          <w:bCs w:val="false"/>
          <w:lang w:eastAsia="en-US"/>
        </w:rPr>
      </w:pPr>
      <w:r>
        <w:rPr>
          <w:rFonts w:cs="Verdana" w:ascii="Arial" w:hAnsi="Arial"/>
          <w:b w:val="false"/>
          <w:bCs w:val="false"/>
          <w:lang w:eastAsia="en-US"/>
        </w:rPr>
        <w:t>12.9.2 Certidão de regularidade junto à fazenda pública Municipal, do domicílio do Licitante.</w:t>
      </w:r>
    </w:p>
    <w:p>
      <w:pPr>
        <w:pStyle w:val="Normal"/>
        <w:spacing w:lineRule="auto" w:line="276" w:before="57" w:after="57"/>
        <w:ind w:hanging="0" w:left="0" w:right="0"/>
        <w:jc w:val="both"/>
        <w:rPr>
          <w:rFonts w:ascii="Arial" w:hAnsi="Arial" w:cs="Verdana"/>
          <w:b w:val="false"/>
          <w:bCs w:val="false"/>
        </w:rPr>
      </w:pPr>
      <w:r>
        <w:rPr>
          <w:rFonts w:cs="Verdana" w:ascii="Arial" w:hAnsi="Arial"/>
          <w:b w:val="false"/>
          <w:bCs w:val="false"/>
        </w:rPr>
        <w:t>12.9.3 Certidão de regularidade junto à fazenda pública Estadual, do domicílio do Licitante.</w:t>
      </w:r>
    </w:p>
    <w:p>
      <w:pPr>
        <w:pStyle w:val="Normal"/>
        <w:spacing w:lineRule="auto" w:line="276" w:before="57" w:after="57"/>
        <w:ind w:hanging="0" w:left="0" w:right="0"/>
        <w:jc w:val="both"/>
        <w:rPr/>
      </w:pPr>
      <w:r>
        <w:rPr>
          <w:rFonts w:cs="Verdana" w:ascii="Arial" w:hAnsi="Arial"/>
          <w:b w:val="false"/>
          <w:bCs w:val="false"/>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76" w:before="57" w:after="57"/>
        <w:ind w:hanging="0" w:left="0" w:right="0"/>
        <w:jc w:val="both"/>
        <w:rPr>
          <w:rFonts w:ascii="Arial" w:hAnsi="Arial" w:cs="Verdana"/>
          <w:b w:val="false"/>
          <w:bCs w:val="false"/>
        </w:rPr>
      </w:pPr>
      <w:r>
        <w:rPr>
          <w:rFonts w:cs="Verdana" w:ascii="Arial" w:hAnsi="Arial"/>
          <w:b w:val="false"/>
          <w:bCs w:val="false"/>
        </w:rPr>
        <w:t>12.9.5 Certidão de regularidade junto ao FGTS;</w:t>
      </w:r>
    </w:p>
    <w:p>
      <w:pPr>
        <w:pStyle w:val="Normal"/>
        <w:spacing w:lineRule="auto" w:line="276" w:before="57" w:after="57"/>
        <w:ind w:hanging="0" w:left="0" w:right="0"/>
        <w:jc w:val="both"/>
        <w:rPr>
          <w:rFonts w:ascii="Arial" w:hAnsi="Arial" w:cs="Verdana"/>
          <w:b w:val="false"/>
          <w:bCs w:val="false"/>
          <w:lang w:eastAsia="en-US"/>
        </w:rPr>
      </w:pPr>
      <w:r>
        <w:rPr>
          <w:rFonts w:cs="Verdana" w:ascii="Arial" w:hAnsi="Arial"/>
          <w:b w:val="false"/>
          <w:bCs w:val="false"/>
          <w:lang w:eastAsia="en-US"/>
        </w:rPr>
        <w:t>12.9.6 Certidão Negativa De Débitos Trabalhistas (CNDT) de acordo com a Lei 12440 de 7 de julho de 2011.</w:t>
      </w:r>
    </w:p>
    <w:p>
      <w:pPr>
        <w:pStyle w:val="Normal"/>
        <w:spacing w:lineRule="auto" w:line="276" w:before="57" w:after="57"/>
        <w:ind w:hanging="0" w:left="0" w:right="0"/>
        <w:jc w:val="both"/>
        <w:rPr/>
      </w:pPr>
      <w:r>
        <w:rPr>
          <w:rFonts w:cs="Verdana" w:ascii="Arial" w:hAnsi="Arial"/>
          <w:b w:val="false"/>
          <w:bCs w:val="false"/>
          <w:color w:val="000000"/>
          <w:lang w:eastAsia="en-US" w:bidi="pt-BR"/>
        </w:rPr>
        <w:t xml:space="preserve">12.9.7 Caso o vencedor do menor preço seja qualificado como microempresa ou empresa de pequeno porte </w:t>
      </w:r>
      <w:r>
        <w:rPr>
          <w:rFonts w:cs="Verdana" w:ascii="Arial" w:hAnsi="Arial"/>
          <w:b w:val="false"/>
          <w:bCs w:val="false"/>
          <w:color w:val="000000"/>
          <w:lang w:eastAsia="en-US"/>
        </w:rPr>
        <w:t>deverá apresentar toda a documentação exigida para efeito de</w:t>
      </w:r>
      <w:r>
        <w:rPr>
          <w:rFonts w:cs="Verdana" w:ascii="Arial" w:hAnsi="Arial"/>
          <w:color w:val="000000"/>
          <w:lang w:eastAsia="en-US"/>
        </w:rPr>
        <w:t xml:space="preserve"> comprovação de regularidade fiscal, mesmo que esta apresente alguma restrição, sob pena de inabilitação.</w:t>
      </w:r>
    </w:p>
    <w:p>
      <w:pPr>
        <w:pStyle w:val="ListParagraph"/>
        <w:spacing w:lineRule="auto" w:line="276" w:before="57" w:after="57"/>
        <w:ind w:hanging="0" w:left="0" w:right="0"/>
        <w:contextualSpacing w:val="false"/>
        <w:jc w:val="both"/>
        <w:rPr/>
      </w:pPr>
      <w:r>
        <w:rPr>
          <w:rFonts w:cs="Verdana" w:ascii="Arial" w:hAnsi="Arial"/>
          <w:b/>
          <w:color w:val="000000"/>
          <w:sz w:val="24"/>
          <w:szCs w:val="24"/>
        </w:rPr>
        <w:t>12.10 Qualificação Econômico-Financeira</w:t>
      </w:r>
      <w:r>
        <w:rPr>
          <w:rFonts w:cs="Verdana" w:ascii="Arial" w:hAnsi="Arial"/>
          <w:color w:val="000000"/>
          <w:sz w:val="24"/>
          <w:szCs w:val="24"/>
        </w:rPr>
        <w:t>.</w:t>
      </w:r>
    </w:p>
    <w:p>
      <w:pPr>
        <w:pStyle w:val="Normal"/>
        <w:tabs>
          <w:tab w:val="clear" w:pos="708"/>
          <w:tab w:val="left" w:pos="850" w:leader="none"/>
        </w:tabs>
        <w:spacing w:lineRule="auto" w:line="276" w:before="57" w:after="57"/>
        <w:ind w:hanging="0" w:left="0" w:right="0"/>
        <w:jc w:val="both"/>
        <w:rPr>
          <w:rFonts w:ascii="Arial" w:hAnsi="Arial" w:cs="Verdana"/>
          <w:b w:val="false"/>
          <w:bCs w:val="false"/>
          <w:color w:val="000000"/>
        </w:rPr>
      </w:pPr>
      <w:r>
        <w:rPr>
          <w:rFonts w:cs="Verdana" w:ascii="Arial" w:hAnsi="Arial"/>
          <w:b w:val="false"/>
          <w:bCs w:val="false"/>
          <w:color w:val="00000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76" w:before="57" w:after="57"/>
        <w:ind w:hanging="0" w:left="0" w:right="0"/>
        <w:jc w:val="both"/>
        <w:rPr>
          <w:rFonts w:ascii="Arial" w:hAnsi="Arial" w:cs="Verdana"/>
          <w:b w:val="false"/>
          <w:bCs w:val="false"/>
          <w:color w:val="000000"/>
        </w:rPr>
      </w:pPr>
      <w:r>
        <w:rPr>
          <w:rFonts w:cs="Verdana" w:ascii="Arial" w:hAnsi="Arial"/>
          <w:b w:val="false"/>
          <w:bCs w:val="false"/>
          <w:color w:val="00000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76" w:before="57" w:after="57"/>
        <w:ind w:hanging="0" w:left="0" w:right="0"/>
        <w:jc w:val="both"/>
        <w:rPr>
          <w:rFonts w:ascii="Arial" w:hAnsi="Arial" w:cs="Verdana"/>
          <w:b w:val="false"/>
          <w:bCs w:val="false"/>
        </w:rPr>
      </w:pPr>
      <w:r>
        <w:rPr>
          <w:rFonts w:cs="Verdana" w:ascii="Arial" w:hAnsi="Arial"/>
          <w:b w:val="false"/>
          <w:bCs w:val="false"/>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276" w:before="57" w:after="57"/>
        <w:ind w:hanging="0" w:left="0" w:right="0"/>
        <w:jc w:val="both"/>
        <w:rPr/>
      </w:pPr>
      <w:r>
        <w:rPr>
          <w:rFonts w:cs="Verdana" w:ascii="Arial" w:hAnsi="Arial"/>
          <w:b w:val="false"/>
          <w:bCs w:val="false"/>
          <w:color w:val="000000"/>
          <w:lang w:eastAsia="en-US"/>
        </w:rPr>
        <w:t xml:space="preserve">12.10.4 </w:t>
      </w:r>
      <w:r>
        <w:rPr>
          <w:rFonts w:cs="Verdana" w:ascii="Arial" w:hAnsi="Arial"/>
          <w:color w:val="000000"/>
          <w:lang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76" w:before="57" w:after="57"/>
        <w:ind w:hanging="0" w:left="0" w:right="0"/>
        <w:jc w:val="both"/>
        <w:rPr/>
      </w:pPr>
      <w:r>
        <w:rPr/>
      </w:r>
    </w:p>
    <w:p>
      <w:pPr>
        <w:pStyle w:val="Normal"/>
        <w:widowControl/>
        <w:suppressAutoHyphens w:val="true"/>
        <w:bidi w:val="0"/>
        <w:spacing w:lineRule="auto" w:line="276" w:before="57" w:after="57"/>
        <w:ind w:hanging="0" w:left="0" w:right="0"/>
        <w:jc w:val="both"/>
        <w:rPr>
          <w:rFonts w:ascii="Arial" w:hAnsi="Arial"/>
          <w:b/>
          <w:bCs/>
          <w:u w:val="none"/>
        </w:rPr>
      </w:pPr>
      <w:r>
        <w:rPr>
          <w:rFonts w:ascii="Arial" w:hAnsi="Arial"/>
          <w:b/>
          <w:bCs/>
          <w:u w:val="none"/>
        </w:rPr>
        <w:t>13. CONTRATAÇÕES CORRELATAS E/OU INTERDEPENDENTES</w:t>
      </w:r>
    </w:p>
    <w:p>
      <w:pPr>
        <w:pStyle w:val="Normal"/>
        <w:widowControl/>
        <w:suppressAutoHyphens w:val="true"/>
        <w:bidi w:val="0"/>
        <w:spacing w:lineRule="auto" w:line="276" w:before="57" w:after="57"/>
        <w:ind w:hanging="0" w:left="0" w:right="0"/>
        <w:jc w:val="both"/>
        <w:rPr/>
      </w:pPr>
      <w:r>
        <w:rPr>
          <w:rFonts w:ascii="Arial" w:hAnsi="Arial"/>
          <w:b w:val="false"/>
          <w:bCs w:val="false"/>
          <w:u w:val="none"/>
        </w:rPr>
        <w:t>13.1.</w:t>
      </w:r>
      <w:r>
        <w:rPr>
          <w:rFonts w:ascii="Arial" w:hAnsi="Arial"/>
          <w:u w:val="none"/>
        </w:rPr>
        <w:t xml:space="preserve"> Não se verifica contratações correlatas ou interdependentes.</w:t>
      </w:r>
    </w:p>
    <w:p>
      <w:pPr>
        <w:pStyle w:val="Normal"/>
        <w:spacing w:lineRule="auto" w:line="276" w:before="57" w:after="57"/>
        <w:ind w:hanging="0" w:left="0" w:right="0"/>
        <w:jc w:val="both"/>
        <w:rPr>
          <w:rFonts w:ascii="Arial" w:hAnsi="Arial"/>
          <w:u w:val="none"/>
        </w:rPr>
      </w:pPr>
      <w:r>
        <w:rPr>
          <w:rFonts w:ascii="Arial" w:hAnsi="Arial"/>
          <w:u w:val="none"/>
        </w:rPr>
      </w:r>
    </w:p>
    <w:p>
      <w:pPr>
        <w:pStyle w:val="Normal"/>
        <w:spacing w:lineRule="auto" w:line="276" w:before="57" w:after="57"/>
        <w:ind w:hanging="0" w:left="0" w:right="0"/>
        <w:jc w:val="both"/>
        <w:rPr>
          <w:rFonts w:ascii="Arial" w:hAnsi="Arial"/>
          <w:b/>
          <w:bCs/>
          <w:u w:val="none"/>
        </w:rPr>
      </w:pPr>
      <w:r>
        <w:rPr>
          <w:rFonts w:ascii="Arial" w:hAnsi="Arial"/>
          <w:b/>
          <w:bCs/>
          <w:u w:val="none"/>
        </w:rPr>
        <w:t>14. RESULTADOS PRETENDIDOS COM A AQUISIÇÃO</w:t>
      </w:r>
    </w:p>
    <w:p>
      <w:pPr>
        <w:pStyle w:val="Normal"/>
        <w:spacing w:lineRule="auto" w:line="276" w:before="57" w:after="57"/>
        <w:ind w:hanging="0" w:left="0" w:right="0"/>
        <w:jc w:val="both"/>
        <w:rPr/>
      </w:pPr>
      <w:r>
        <w:rPr>
          <w:rFonts w:ascii="Arial" w:hAnsi="Arial"/>
          <w:b w:val="false"/>
          <w:bCs w:val="false"/>
          <w:u w:val="none"/>
        </w:rPr>
        <w:t>14.1 Co</w:t>
      </w:r>
      <w:r>
        <w:rPr>
          <w:rFonts w:ascii="Arial" w:hAnsi="Arial"/>
          <w:u w:val="none"/>
        </w:rPr>
        <w:t>m a aquisição, buscaremos atender as demandas escolares e da Secretaria Municipal de Educação, visando garantir um bom atendimento aos estudantes e subsidiando o ensino.</w:t>
      </w:r>
    </w:p>
    <w:p>
      <w:pPr>
        <w:pStyle w:val="Normal"/>
        <w:spacing w:lineRule="auto" w:line="276" w:before="57" w:after="57"/>
        <w:ind w:hanging="0" w:left="0" w:right="0"/>
        <w:jc w:val="both"/>
        <w:rPr>
          <w:rFonts w:ascii="Arial" w:hAnsi="Arial"/>
          <w:b/>
          <w:bCs/>
          <w:u w:val="none"/>
        </w:rPr>
      </w:pPr>
      <w:r>
        <w:rPr>
          <w:rFonts w:ascii="Arial" w:hAnsi="Arial"/>
          <w:b/>
          <w:bCs/>
          <w:u w:val="none"/>
        </w:rPr>
      </w:r>
    </w:p>
    <w:p>
      <w:pPr>
        <w:pStyle w:val="Normal"/>
        <w:spacing w:lineRule="auto" w:line="276" w:before="57" w:after="57"/>
        <w:ind w:hanging="0" w:left="0" w:right="0"/>
        <w:jc w:val="both"/>
        <w:rPr>
          <w:rFonts w:ascii="Arial" w:hAnsi="Arial"/>
          <w:b/>
          <w:bCs/>
          <w:u w:val="none"/>
        </w:rPr>
      </w:pPr>
      <w:r>
        <w:rPr>
          <w:rFonts w:ascii="Arial" w:hAnsi="Arial"/>
          <w:b/>
          <w:bCs/>
          <w:u w:val="none"/>
        </w:rPr>
        <w:t>15. PROVIDÊNCIAS A SEREM ADOTADAS</w:t>
      </w:r>
    </w:p>
    <w:p>
      <w:pPr>
        <w:pStyle w:val="Normal"/>
        <w:spacing w:lineRule="auto" w:line="276" w:before="57" w:after="57"/>
        <w:ind w:hanging="0" w:left="0" w:right="0"/>
        <w:jc w:val="both"/>
        <w:rPr/>
      </w:pPr>
      <w:r>
        <w:rPr>
          <w:rFonts w:ascii="Arial" w:hAnsi="Arial"/>
          <w:b w:val="false"/>
          <w:bCs w:val="false"/>
          <w:u w:val="none"/>
        </w:rPr>
        <w:t xml:space="preserve">15.2. A Secretaria Municipal de Educação deverá </w:t>
      </w:r>
      <w:r>
        <w:rPr>
          <w:rFonts w:ascii="Arial" w:hAnsi="Arial"/>
          <w:u w:val="none"/>
        </w:rPr>
        <w:t xml:space="preserve">acompanhar, fiscalizar, comprovar e relatar, por escrito, as eventuais irregularidades na entrega dos equipamentos. </w:t>
      </w:r>
    </w:p>
    <w:p>
      <w:pPr>
        <w:pStyle w:val="Normal"/>
        <w:spacing w:lineRule="auto" w:line="276" w:before="57" w:after="57"/>
        <w:ind w:hanging="0" w:left="0" w:right="0"/>
        <w:rPr>
          <w:rFonts w:ascii="Arial" w:hAnsi="Arial"/>
          <w:u w:val="none"/>
        </w:rPr>
      </w:pPr>
      <w:r>
        <w:rPr>
          <w:rFonts w:ascii="Arial" w:hAnsi="Arial"/>
          <w:u w:val="none"/>
        </w:rPr>
      </w:r>
    </w:p>
    <w:p>
      <w:pPr>
        <w:pStyle w:val="Normal"/>
        <w:spacing w:lineRule="auto" w:line="276" w:before="57" w:after="57"/>
        <w:ind w:hanging="0" w:left="0" w:right="0"/>
        <w:jc w:val="both"/>
        <w:rPr>
          <w:rFonts w:ascii="Arial" w:hAnsi="Arial"/>
          <w:b/>
          <w:bCs/>
          <w:u w:val="none"/>
        </w:rPr>
      </w:pPr>
      <w:r>
        <w:rPr>
          <w:rFonts w:ascii="Arial" w:hAnsi="Arial"/>
          <w:b/>
          <w:bCs/>
          <w:u w:val="none"/>
        </w:rPr>
        <w:t>16. POSSÍVEIS IMPACTOS AMBIENTAIS</w:t>
      </w:r>
    </w:p>
    <w:p>
      <w:pPr>
        <w:pStyle w:val="Normal"/>
        <w:spacing w:lineRule="auto" w:line="276" w:before="57" w:after="57"/>
        <w:ind w:hanging="0" w:left="0" w:right="0"/>
        <w:jc w:val="both"/>
        <w:rPr/>
      </w:pPr>
      <w:r>
        <w:rPr>
          <w:rFonts w:ascii="Arial" w:hAnsi="Arial"/>
          <w:b w:val="false"/>
          <w:bCs w:val="false"/>
          <w:u w:val="none"/>
        </w:rPr>
        <w:t xml:space="preserve">16.1 </w:t>
      </w:r>
      <w:r>
        <w:rPr>
          <w:rFonts w:ascii="Arial" w:hAnsi="Arial"/>
          <w:u w:val="none"/>
        </w:rPr>
        <w:t>Não haverá danos ao meio ambiente</w:t>
      </w:r>
      <w:r>
        <w:rPr>
          <w:rFonts w:ascii="Arial" w:hAnsi="Arial"/>
          <w:b/>
          <w:u w:val="none"/>
        </w:rPr>
        <w:t>.</w:t>
      </w:r>
      <w:r>
        <w:rPr>
          <w:rFonts w:ascii="Arial" w:hAnsi="Arial"/>
          <w:u w:val="none"/>
        </w:rPr>
        <w:t xml:space="preserve"> </w:t>
      </w:r>
    </w:p>
    <w:p>
      <w:pPr>
        <w:pStyle w:val="Normal"/>
        <w:spacing w:lineRule="auto" w:line="276" w:before="57" w:after="57"/>
        <w:ind w:hanging="0" w:left="0" w:right="0"/>
        <w:jc w:val="both"/>
        <w:rPr/>
      </w:pPr>
      <w:r>
        <w:rPr>
          <w:rFonts w:ascii="Arial" w:hAnsi="Arial"/>
          <w:b/>
          <w:bCs/>
          <w:u w:val="none"/>
        </w:rPr>
        <w:t>17. DECLARAÇÕES DE VIABILIDADE</w:t>
      </w:r>
    </w:p>
    <w:p>
      <w:pPr>
        <w:pStyle w:val="Normal"/>
        <w:spacing w:lineRule="auto" w:line="276" w:before="57" w:after="57"/>
        <w:ind w:hanging="0" w:left="0" w:right="0"/>
        <w:jc w:val="both"/>
        <w:rPr/>
      </w:pPr>
      <w:r>
        <w:rPr>
          <w:rFonts w:ascii="Arial" w:hAnsi="Arial"/>
          <w:b w:val="false"/>
          <w:bCs w:val="false"/>
          <w:u w:val="none"/>
        </w:rPr>
        <w:t>17.1 A</w:t>
      </w:r>
      <w:r>
        <w:rPr>
          <w:rFonts w:ascii="Arial" w:hAnsi="Arial"/>
          <w:u w:val="none"/>
        </w:rPr>
        <w:t xml:space="preserve"> equipe de planejamento deste ETP e de acordo com a autoridade deste requerente, declara viável esta licitação. </w:t>
      </w:r>
    </w:p>
    <w:p>
      <w:pPr>
        <w:pStyle w:val="Normal"/>
        <w:spacing w:lineRule="auto" w:line="276" w:before="57" w:after="57"/>
        <w:ind w:hanging="0" w:left="0" w:right="0"/>
        <w:jc w:val="both"/>
        <w:rPr>
          <w:rFonts w:ascii="Arial" w:hAnsi="Arial"/>
          <w:u w:val="none"/>
        </w:rPr>
      </w:pPr>
      <w:r>
        <w:rPr>
          <w:rFonts w:ascii="Arial" w:hAnsi="Arial"/>
          <w:u w:val="none"/>
        </w:rPr>
      </w:r>
    </w:p>
    <w:p>
      <w:pPr>
        <w:pStyle w:val="Normal"/>
        <w:widowControl/>
        <w:suppressAutoHyphens w:val="true"/>
        <w:bidi w:val="0"/>
        <w:spacing w:lineRule="auto" w:line="276" w:before="57" w:after="57"/>
        <w:ind w:hanging="0" w:left="0" w:right="0"/>
        <w:jc w:val="both"/>
        <w:rPr>
          <w:rFonts w:ascii="Arial" w:hAnsi="Arial"/>
          <w:b/>
          <w:bCs/>
          <w:u w:val="none"/>
        </w:rPr>
      </w:pPr>
      <w:r>
        <w:rPr>
          <w:rFonts w:ascii="Arial" w:hAnsi="Arial"/>
          <w:b/>
          <w:bCs/>
          <w:u w:val="none"/>
        </w:rPr>
        <w:t>18. JUSTIFICATIVAS DA VIABILIDADE</w:t>
      </w:r>
    </w:p>
    <w:p>
      <w:pPr>
        <w:pStyle w:val="Normal"/>
        <w:spacing w:lineRule="auto" w:line="276" w:before="57" w:after="57"/>
        <w:ind w:hanging="0" w:left="0" w:right="0"/>
        <w:jc w:val="both"/>
        <w:rPr>
          <w:rFonts w:ascii="Arial" w:hAnsi="Arial" w:cs="Arial"/>
          <w:b w:val="false"/>
          <w:bCs w:val="false"/>
          <w:u w:val="none"/>
        </w:rPr>
      </w:pPr>
      <w:r>
        <w:rPr>
          <w:rFonts w:cs="Arial" w:ascii="Arial" w:hAnsi="Arial"/>
          <w:b w:val="false"/>
          <w:bCs w:val="false"/>
          <w:u w:val="none"/>
        </w:rPr>
        <w:t>18.1 Considerando que existe a necessidade de manter um bom atendimento aos alunos e subsidiar a educação do município, proporcionando atendimento nas necessidades básicas e oferecer também qualidade ao ensino.</w:t>
      </w:r>
    </w:p>
    <w:p>
      <w:pPr>
        <w:pStyle w:val="Normal"/>
        <w:spacing w:lineRule="auto" w:line="276" w:before="57" w:after="57"/>
        <w:ind w:hanging="0" w:left="0" w:right="0"/>
        <w:jc w:val="both"/>
        <w:rPr>
          <w:rFonts w:ascii="Arial" w:hAnsi="Arial" w:cs="Arial"/>
          <w:b/>
          <w:u w:val="single"/>
        </w:rPr>
      </w:pPr>
      <w:r>
        <w:rPr>
          <w:rFonts w:cs="Arial" w:ascii="Arial" w:hAnsi="Arial"/>
          <w:b/>
          <w:u w:val="single"/>
        </w:rPr>
      </w:r>
    </w:p>
    <w:p>
      <w:pPr>
        <w:pStyle w:val="Normal"/>
        <w:spacing w:lineRule="auto" w:line="276" w:before="57" w:after="57"/>
        <w:ind w:hanging="0" w:left="0" w:right="0"/>
        <w:jc w:val="both"/>
        <w:rPr>
          <w:rFonts w:ascii="Arial" w:hAnsi="Arial" w:cs="Times New Roman"/>
          <w:b/>
          <w:bCs/>
        </w:rPr>
      </w:pPr>
      <w:r>
        <w:rPr>
          <w:rFonts w:cs="Times New Roman" w:ascii="Arial" w:hAnsi="Arial"/>
          <w:b/>
          <w:bCs/>
        </w:rPr>
        <w:t xml:space="preserve">19. ADEQUAÇÃO ORÇAMENTÁRIA </w:t>
      </w:r>
    </w:p>
    <w:p>
      <w:pPr>
        <w:pStyle w:val="ListParagraph"/>
        <w:spacing w:lineRule="auto" w:line="276" w:before="57" w:after="57"/>
        <w:ind w:hanging="0" w:left="0" w:right="0"/>
        <w:contextualSpacing w:val="false"/>
        <w:jc w:val="both"/>
        <w:rPr/>
      </w:pPr>
      <w:r>
        <w:rPr>
          <w:rFonts w:ascii="Arial" w:hAnsi="Arial"/>
          <w:b w:val="false"/>
          <w:bCs w:val="false"/>
        </w:rPr>
        <w:t>19.1.</w:t>
      </w:r>
      <w:r>
        <w:rPr>
          <w:rFonts w:ascii="Arial" w:hAnsi="Arial"/>
          <w:b/>
          <w:bCs/>
        </w:rPr>
        <w:t xml:space="preserve"> </w:t>
      </w:r>
      <w:r>
        <w:rPr>
          <w:rFonts w:ascii="Arial" w:hAnsi="Arial"/>
        </w:rPr>
        <w:t xml:space="preserve">As despesas decorrentes da presente </w:t>
      </w:r>
      <w:r>
        <w:rPr>
          <w:rFonts w:eastAsia="Times New Roman" w:cs="Times New Roman" w:ascii="Arial" w:hAnsi="Arial"/>
          <w:sz w:val="24"/>
          <w:szCs w:val="20"/>
        </w:rPr>
        <w:t>aquisição</w:t>
      </w:r>
      <w:r>
        <w:rPr>
          <w:rFonts w:ascii="Arial" w:hAnsi="Arial"/>
        </w:rPr>
        <w:t xml:space="preserve"> correrão à conta de recursos específicos consignados no Lei Orçamentária Anual, bem como requisição do sistema presente nos autos, sendo a </w:t>
      </w:r>
      <w:r>
        <w:rPr>
          <w:rFonts w:eastAsia="Times New Roman" w:cs="Times New Roman" w:ascii="Arial" w:hAnsi="Arial"/>
          <w:sz w:val="24"/>
          <w:szCs w:val="20"/>
        </w:rPr>
        <w:t>aquisição</w:t>
      </w:r>
      <w:r>
        <w:rPr>
          <w:rFonts w:ascii="Arial" w:hAnsi="Arial"/>
        </w:rPr>
        <w:t xml:space="preserve"> será atendida pelas seguintes dotações:</w:t>
      </w:r>
    </w:p>
    <w:p>
      <w:pPr>
        <w:pStyle w:val="Normal"/>
        <w:widowControl/>
        <w:numPr>
          <w:ilvl w:val="0"/>
          <w:numId w:val="2"/>
        </w:numPr>
        <w:suppressAutoHyphens w:val="true"/>
        <w:bidi w:val="0"/>
        <w:spacing w:lineRule="auto" w:line="276" w:before="57" w:after="57"/>
        <w:ind w:firstLine="397" w:left="0" w:right="0"/>
        <w:jc w:val="both"/>
        <w:rPr/>
      </w:pPr>
      <w:r>
        <w:rPr>
          <w:rFonts w:cs="Arial" w:ascii="Arial" w:hAnsi="Arial"/>
          <w:szCs w:val="20"/>
        </w:rPr>
        <w:t>FICHA – FONTE: 00620</w:t>
      </w:r>
      <w:r>
        <w:rPr>
          <w:rFonts w:eastAsia="Times New Roman" w:cs="Arial" w:ascii="Arial" w:hAnsi="Arial"/>
          <w:szCs w:val="20"/>
        </w:rPr>
        <w:t>-</w:t>
      </w:r>
      <w:r>
        <w:rPr>
          <w:rFonts w:cs="Arial" w:ascii="Arial" w:hAnsi="Arial"/>
          <w:szCs w:val="20"/>
        </w:rPr>
        <w:t>1</w:t>
      </w:r>
      <w:r>
        <w:rPr>
          <w:rFonts w:eastAsia="Times New Roman" w:cs="Arial" w:ascii="Arial" w:hAnsi="Arial"/>
          <w:szCs w:val="20"/>
        </w:rPr>
        <w:t>54300000000 no valor estimado de</w:t>
      </w:r>
      <w:r>
        <w:rPr>
          <w:rFonts w:eastAsia="Times New Roman" w:cs="Arial" w:ascii="Arial" w:hAnsi="Arial"/>
          <w:szCs w:val="20"/>
          <w:u w:val="none"/>
        </w:rPr>
        <w:t xml:space="preserve"> </w:t>
      </w:r>
      <w:r>
        <w:rPr>
          <w:rFonts w:eastAsia="Times New Roman" w:cs="Arial" w:ascii="Arial" w:hAnsi="Arial"/>
          <w:b w:val="false"/>
          <w:bCs w:val="false"/>
          <w:i w:val="false"/>
          <w:iCs w:val="false"/>
          <w:color w:val="000000"/>
          <w:sz w:val="24"/>
          <w:szCs w:val="24"/>
          <w:u w:val="none"/>
          <w:lang w:eastAsia="zh-CN"/>
        </w:rPr>
        <w:t>R$ 3.586.818,50 (três milhões quinhentos e oitenta e seis mil oitocentos e dezoito reais e cinquenta centavos)</w:t>
      </w:r>
    </w:p>
    <w:p>
      <w:pPr>
        <w:pStyle w:val="Normal"/>
        <w:spacing w:lineRule="auto" w:line="276" w:before="57" w:after="57"/>
        <w:ind w:hanging="0" w:left="0" w:right="0"/>
        <w:jc w:val="both"/>
        <w:rPr>
          <w:rFonts w:ascii="Arial" w:hAnsi="Arial" w:eastAsia="Times New Roman" w:cs="Arial"/>
          <w:b w:val="false"/>
          <w:bCs w:val="false"/>
          <w:i w:val="false"/>
          <w:i w:val="false"/>
          <w:iCs w:val="false"/>
          <w:color w:val="000000"/>
          <w:sz w:val="24"/>
          <w:szCs w:val="24"/>
          <w:u w:val="none"/>
          <w:lang w:eastAsia="zh-CN"/>
        </w:rPr>
      </w:pPr>
      <w:r>
        <w:rPr/>
      </w:r>
    </w:p>
    <w:p>
      <w:pPr>
        <w:pStyle w:val="Normal"/>
        <w:spacing w:lineRule="auto" w:line="276" w:before="57" w:after="57"/>
        <w:ind w:hanging="0" w:left="0" w:right="0"/>
        <w:jc w:val="both"/>
        <w:rPr>
          <w:rFonts w:ascii="Arial" w:hAnsi="Arial" w:cs="Arial"/>
          <w:b/>
          <w:bCs/>
          <w:color w:val="000000"/>
          <w:sz w:val="24"/>
          <w:szCs w:val="24"/>
        </w:rPr>
      </w:pPr>
      <w:r>
        <w:rPr>
          <w:rFonts w:cs="Arial" w:ascii="Arial" w:hAnsi="Arial"/>
          <w:b/>
          <w:bCs/>
          <w:color w:val="000000"/>
          <w:sz w:val="24"/>
          <w:szCs w:val="24"/>
        </w:rPr>
        <w:t>20. DOS RESPONSÁVEIS PELA ELABORAÇÃO DO TERMO DE REFERÊNCIA</w:t>
      </w:r>
    </w:p>
    <w:p>
      <w:pPr>
        <w:pStyle w:val="Normal"/>
        <w:spacing w:lineRule="auto" w:line="276" w:before="57" w:after="57"/>
        <w:ind w:hanging="0" w:left="0" w:right="0"/>
        <w:jc w:val="both"/>
        <w:rPr/>
      </w:pPr>
      <w:r>
        <w:rPr>
          <w:rFonts w:cs="Arial" w:ascii="Arial" w:hAnsi="Arial"/>
          <w:b w:val="false"/>
          <w:bCs w:val="false"/>
          <w:color w:val="000000"/>
        </w:rPr>
        <w:t>20.1. A compilação d</w:t>
      </w:r>
      <w:r>
        <w:rPr>
          <w:rFonts w:eastAsia="Times New Roman" w:cs="Arial" w:ascii="Arial" w:hAnsi="Arial"/>
          <w:b w:val="false"/>
          <w:bCs w:val="false"/>
          <w:color w:val="000000"/>
          <w:szCs w:val="20"/>
        </w:rPr>
        <w:t>e parte das</w:t>
      </w:r>
      <w:r>
        <w:rPr>
          <w:rFonts w:cs="Arial" w:ascii="Arial" w:hAnsi="Arial"/>
          <w:b w:val="false"/>
          <w:bCs w:val="false"/>
          <w:color w:val="000000"/>
        </w:rPr>
        <w:t xml:space="preserve"> informações mencionados </w:t>
      </w:r>
      <w:r>
        <w:rPr>
          <w:rFonts w:eastAsia="Times New Roman" w:cs="Arial" w:ascii="Arial" w:hAnsi="Arial"/>
          <w:b w:val="false"/>
          <w:bCs w:val="false"/>
          <w:color w:val="000000"/>
          <w:szCs w:val="20"/>
        </w:rPr>
        <w:t>na</w:t>
      </w:r>
      <w:r>
        <w:rPr>
          <w:rFonts w:cs="Arial" w:ascii="Arial" w:hAnsi="Arial"/>
          <w:b w:val="false"/>
          <w:bCs w:val="false"/>
          <w:color w:val="000000"/>
        </w:rPr>
        <w:t xml:space="preserve"> elaboração deste Termo de Referência foram estruturadas através do ETP – Estudo Técnico Preliminar elaborado pela secretaria requisitante.</w:t>
      </w:r>
    </w:p>
    <w:p>
      <w:pPr>
        <w:pStyle w:val="Normal"/>
        <w:spacing w:lineRule="auto" w:line="276" w:before="57" w:after="57"/>
        <w:ind w:hanging="0" w:left="0" w:right="0"/>
        <w:jc w:val="right"/>
        <w:rPr>
          <w:rFonts w:ascii="Arial" w:hAnsi="Arial" w:cs="Arial"/>
          <w:b/>
          <w:u w:val="single"/>
        </w:rPr>
      </w:pPr>
      <w:r>
        <w:rPr>
          <w:rFonts w:cs="Arial" w:ascii="Arial" w:hAnsi="Arial"/>
          <w:b/>
          <w:u w:val="single"/>
        </w:rPr>
      </w:r>
    </w:p>
    <w:p>
      <w:pPr>
        <w:pStyle w:val="Normal"/>
        <w:spacing w:lineRule="auto" w:line="276" w:before="57" w:after="57"/>
        <w:ind w:hanging="0" w:left="0" w:right="0"/>
        <w:jc w:val="right"/>
        <w:rPr>
          <w:rFonts w:ascii="Arial" w:hAnsi="Arial" w:cs="Arial"/>
          <w:b/>
          <w:u w:val="single"/>
        </w:rPr>
      </w:pPr>
      <w:r>
        <w:rPr>
          <w:rFonts w:cs="Arial" w:ascii="Arial" w:hAnsi="Arial"/>
          <w:b/>
          <w:u w:val="single"/>
        </w:rPr>
      </w:r>
    </w:p>
    <w:p>
      <w:pPr>
        <w:pStyle w:val="Normal"/>
        <w:spacing w:lineRule="auto" w:line="276" w:before="57" w:after="57"/>
        <w:ind w:hanging="0" w:left="0" w:right="0"/>
        <w:jc w:val="right"/>
        <w:rPr>
          <w:rFonts w:ascii="Arial" w:hAnsi="Arial"/>
        </w:rPr>
      </w:pPr>
      <w:r>
        <w:rPr>
          <w:rFonts w:ascii="Arial" w:hAnsi="Arial"/>
        </w:rPr>
        <w:t>São Gabriel da Palha, 27 de novembro de 2024</w:t>
      </w:r>
    </w:p>
    <w:p>
      <w:pPr>
        <w:pStyle w:val="Normal"/>
        <w:spacing w:lineRule="auto" w:line="276" w:before="57" w:after="57"/>
        <w:ind w:hanging="0" w:left="0" w:right="0"/>
        <w:jc w:val="right"/>
        <w:rPr>
          <w:rFonts w:ascii="Arial" w:hAnsi="Arial" w:cs="Arial"/>
          <w:b/>
          <w:u w:val="single"/>
        </w:rPr>
      </w:pPr>
      <w:r>
        <w:rPr>
          <w:rFonts w:cs="Arial" w:ascii="Arial" w:hAnsi="Arial"/>
          <w:b/>
          <w:u w:val="single"/>
        </w:rPr>
      </w:r>
    </w:p>
    <w:p>
      <w:pPr>
        <w:pStyle w:val="Normal"/>
        <w:spacing w:lineRule="auto" w:line="276" w:before="57" w:after="57"/>
        <w:ind w:hanging="0" w:left="0" w:right="0"/>
        <w:jc w:val="both"/>
        <w:rPr>
          <w:rFonts w:ascii="Arial" w:hAnsi="Arial" w:cs="Arial"/>
          <w:b/>
          <w:bCs/>
        </w:rPr>
      </w:pPr>
      <w:r>
        <w:rPr>
          <w:rFonts w:cs="Arial" w:ascii="Arial" w:hAnsi="Arial"/>
          <w:b/>
          <w:bCs/>
        </w:rPr>
        <w:t>Elaborado por:</w:t>
      </w:r>
    </w:p>
    <w:p>
      <w:pPr>
        <w:pStyle w:val="Normal"/>
        <w:spacing w:lineRule="auto" w:line="276" w:before="57" w:after="57"/>
        <w:ind w:hanging="0" w:left="0" w:right="0"/>
        <w:jc w:val="both"/>
        <w:rPr>
          <w:rFonts w:ascii="Arial" w:hAnsi="Arial" w:cs="Arial"/>
          <w:b/>
          <w:u w:val="single"/>
        </w:rPr>
      </w:pPr>
      <w:r>
        <w:rPr>
          <w:rFonts w:cs="Arial" w:ascii="Arial" w:hAnsi="Arial"/>
          <w:b/>
          <w:u w:val="single"/>
        </w:rPr>
      </w:r>
    </w:p>
    <w:p>
      <w:pPr>
        <w:sectPr>
          <w:headerReference w:type="default" r:id="rId8"/>
          <w:footerReference w:type="default" r:id="rId9"/>
          <w:type w:val="nextPage"/>
          <w:pgSz w:w="11906" w:h="16838"/>
          <w:pgMar w:left="1500" w:right="886" w:gutter="0" w:header="227" w:top="851" w:footer="567" w:bottom="851"/>
          <w:pgNumType w:fmt="decimal"/>
          <w:formProt w:val="false"/>
          <w:textDirection w:val="lrTb"/>
          <w:docGrid w:type="default" w:linePitch="326" w:charSpace="0"/>
        </w:sectPr>
      </w:pPr>
    </w:p>
    <w:p>
      <w:pPr>
        <w:pStyle w:val="Normal"/>
        <w:spacing w:lineRule="auto" w:line="276" w:before="57" w:after="57"/>
        <w:ind w:hanging="0" w:left="0" w:right="0"/>
        <w:rPr>
          <w:rFonts w:ascii="Arial" w:hAnsi="Arial"/>
        </w:rPr>
      </w:pPr>
      <w:bookmarkEnd w:id="0"/>
      <w:bookmarkEnd w:id="1"/>
      <w:bookmarkEnd w:id="2"/>
      <w:bookmarkEnd w:id="3"/>
      <w:bookmarkEnd w:id="4"/>
      <w:bookmarkEnd w:id="5"/>
      <w:bookmarkEnd w:id="6"/>
      <w:r>
        <w:rPr>
          <w:rFonts w:ascii="Arial" w:hAnsi="Arial"/>
        </w:rPr>
        <w:t>RODOLFO ANTÔNIO DA SILVA NETO</w:t>
      </w:r>
    </w:p>
    <w:p>
      <w:pPr>
        <w:pStyle w:val="Normal"/>
        <w:spacing w:lineRule="auto" w:line="276" w:before="57" w:after="57"/>
        <w:ind w:hanging="0" w:left="0" w:right="0"/>
        <w:rPr>
          <w:rFonts w:ascii="Arial" w:hAnsi="Arial"/>
        </w:rPr>
      </w:pPr>
      <w:r>
        <w:rPr>
          <w:rFonts w:ascii="Arial" w:hAnsi="Arial"/>
        </w:rPr>
        <w:t>Auxiliar Administrativo</w:t>
      </w:r>
    </w:p>
    <w:p>
      <w:pPr>
        <w:pStyle w:val="Normal"/>
        <w:spacing w:lineRule="auto" w:line="276" w:before="57" w:after="57"/>
        <w:ind w:hanging="0" w:left="0" w:right="0"/>
        <w:rPr>
          <w:rFonts w:ascii="Arial" w:hAnsi="Arial"/>
        </w:rPr>
      </w:pPr>
      <w:r>
        <w:rPr>
          <w:rFonts w:ascii="Arial" w:hAnsi="Arial"/>
        </w:rPr>
        <w:t>Mat nº 000406</w:t>
      </w:r>
    </w:p>
    <w:p>
      <w:pPr>
        <w:pStyle w:val="Normal"/>
        <w:spacing w:lineRule="auto" w:line="276" w:before="57" w:after="57"/>
        <w:ind w:hanging="0" w:left="0" w:right="0"/>
        <w:rPr>
          <w:rFonts w:ascii="Arial" w:hAnsi="Arial"/>
        </w:rPr>
      </w:pPr>
      <w:r>
        <w:rPr>
          <w:rFonts w:ascii="Arial" w:hAnsi="Arial"/>
        </w:rPr>
      </w:r>
    </w:p>
    <w:p>
      <w:pPr>
        <w:pStyle w:val="Normal"/>
        <w:spacing w:lineRule="auto" w:line="276" w:before="57" w:after="57"/>
        <w:ind w:hanging="0" w:left="0" w:right="0"/>
        <w:jc w:val="both"/>
        <w:rPr>
          <w:rFonts w:ascii="Arial" w:hAnsi="Arial" w:cs="Arial"/>
        </w:rPr>
      </w:pPr>
      <w:r>
        <w:rPr>
          <w:rFonts w:cs="Arial" w:ascii="Arial" w:hAnsi="Arial"/>
        </w:rPr>
        <w:t>RUTH BARBARA DA SILWA NASCIMENTO</w:t>
      </w:r>
    </w:p>
    <w:p>
      <w:pPr>
        <w:pStyle w:val="Normal"/>
        <w:spacing w:lineRule="auto" w:line="276" w:before="57" w:after="57"/>
        <w:ind w:hanging="0" w:left="0" w:right="0"/>
        <w:jc w:val="both"/>
        <w:rPr>
          <w:rFonts w:ascii="Arial" w:hAnsi="Arial" w:cs="Arial"/>
        </w:rPr>
      </w:pPr>
      <w:r>
        <w:rPr>
          <w:rFonts w:cs="Arial" w:ascii="Arial" w:hAnsi="Arial"/>
        </w:rPr>
        <w:t>Assistente Administrativo</w:t>
      </w:r>
    </w:p>
    <w:p>
      <w:pPr>
        <w:pStyle w:val="Normal"/>
        <w:spacing w:lineRule="auto" w:line="276" w:before="57" w:after="57"/>
        <w:ind w:hanging="0" w:left="0" w:right="0"/>
        <w:jc w:val="both"/>
        <w:rPr/>
      </w:pPr>
      <w:bookmarkStart w:id="7" w:name="art116"/>
      <w:r>
        <w:rPr>
          <w:rFonts w:cs="Arial" w:ascii="Arial" w:hAnsi="Arial"/>
        </w:rPr>
        <w:t xml:space="preserve"> </w:t>
      </w:r>
      <w:r>
        <w:rPr>
          <w:rFonts w:cs="Arial" w:ascii="Arial" w:hAnsi="Arial"/>
        </w:rPr>
        <w:t>Mat. nº</w:t>
      </w:r>
      <w:bookmarkEnd w:id="7"/>
      <w:r>
        <w:rPr>
          <w:rFonts w:cs="Arial" w:ascii="Arial" w:hAnsi="Arial"/>
        </w:rPr>
        <w:t xml:space="preserve"> 002983</w:t>
      </w:r>
    </w:p>
    <w:p>
      <w:pPr>
        <w:sectPr>
          <w:type w:val="continuous"/>
          <w:pgSz w:w="11906" w:h="16838"/>
          <w:pgMar w:left="1500" w:right="886" w:gutter="0" w:header="227" w:top="851" w:footer="567" w:bottom="851"/>
          <w:cols w:num="2" w:space="282" w:equalWidth="true" w:sep="false"/>
          <w:formProt w:val="false"/>
          <w:textDirection w:val="lrTb"/>
          <w:docGrid w:type="default" w:linePitch="326" w:charSpace="0"/>
        </w:sectPr>
      </w:pPr>
    </w:p>
    <w:sectPr>
      <w:type w:val="continuous"/>
      <w:pgSz w:w="11906" w:h="16838"/>
      <w:pgMar w:left="1500" w:right="886"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Ecofont_Spranq_eco_Sans">
    <w:charset w:val="00"/>
    <w:family w:val="roman"/>
    <w:pitch w:val="variable"/>
  </w:font>
  <w:font w:name="Tahoma">
    <w:charset w:val="00"/>
    <w:family w:val="roman"/>
    <w:pitch w:val="variable"/>
  </w:font>
  <w:font w:name="OpenSymbol">
    <w:altName w:val="Arial Unicode MS"/>
    <w:charset w:val="02"/>
    <w:family w:val="auto"/>
    <w:pitch w:val="default"/>
  </w:font>
  <w:font w:name="Liberation Sans">
    <w:altName w:val="Arial"/>
    <w:charset w:val="00"/>
    <w:family w:val="roman"/>
    <w:pitch w:val="variable"/>
  </w:font>
  <w:font w:name="Verdana">
    <w:charset w:val="00"/>
    <w:family w:val="roman"/>
    <w:pitch w:val="variable"/>
  </w:font>
  <w:font w:name="Arial Narrow">
    <w:charset w:val="00"/>
    <w:family w:val="roman"/>
    <w:pitch w:val="variable"/>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num w:numId="1">
    <w:abstractNumId w:val="1"/>
  </w:num>
  <w:num w:numId="2">
    <w:abstractNumId w:val="2"/>
  </w:num>
</w:numbering>
</file>

<file path=word/settings.xml><?xml version="1.0" encoding="utf-8"?>
<w:settings xmlns:w="http://schemas.openxmlformats.org/wordprocessingml/2006/main">
  <w:zoom w:percent="95"/>
  <w:defaultTabStop w:val="708"/>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numPr>
        <w:ilvl w:val="0"/>
        <w:numId w:val="0"/>
      </w:numPr>
      <w:spacing w:before="480" w:after="0"/>
      <w:outlineLvl w:val="0"/>
    </w:pPr>
    <w:rPr>
      <w:rFonts w:ascii="Cambria" w:hAnsi="Cambria" w:eastAsia="Calibri" w:cs="Tahoma"/>
      <w:b/>
      <w:bCs/>
      <w:color w:themeColor="accent1" w:themeShade="bf" w:val="365F91"/>
      <w:sz w:val="28"/>
      <w:szCs w:val="28"/>
    </w:rPr>
  </w:style>
  <w:style w:type="character" w:styleId="DefaultParagraphFont">
    <w:name w:val="Default Paragraph Font"/>
    <w:qFormat/>
    <w:rPr/>
  </w:style>
  <w:style w:type="character" w:styleId="PageNumber">
    <w:name w:val="Page Number"/>
    <w:basedOn w:val="DefaultParagraphFon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InternetLink">
    <w:name w:val="Internet Link"/>
    <w:qFormat/>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cs="Ecofont_Spranq_eco_Sans"/>
      <w:i/>
      <w:iCs/>
      <w:color w:val="000000"/>
      <w:sz w:val="24"/>
      <w:szCs w:val="24"/>
      <w:shd w:fill="FFFFCC" w:val="clear"/>
      <w:lang w:eastAsia="en-US"/>
    </w:rPr>
  </w:style>
  <w:style w:type="character" w:styleId="Nivel01Char">
    <w:name w:val="Nivel_01 Char"/>
    <w:qFormat/>
    <w:rPr>
      <w:rFonts w:ascii="Ecofont_Spranq_eco_Sans" w:hAnsi="Ecofont_Spranq_eco_Sans" w:eastAsia="ＭＳ ゴシック" w:cs="Times New Roman"/>
      <w:b/>
      <w:bCs/>
      <w:color w:val="365F91"/>
      <w:sz w:val="32"/>
      <w:szCs w:val="32"/>
    </w:rPr>
  </w:style>
  <w:style w:type="character" w:styleId="Nivel01Char1">
    <w:name w:val="Nivel 01 Char"/>
    <w:qFormat/>
    <w:rPr>
      <w:rFonts w:ascii="Ecofont_Spranq_eco_Sans" w:hAnsi="Ecofont_Spranq_eco_Sans" w:eastAsia="ＭＳ ゴシック"/>
      <w:b/>
      <w:bCs/>
      <w:color w:val="000000"/>
    </w:rPr>
  </w:style>
  <w:style w:type="character" w:styleId="AssuntodocomentrioChar">
    <w:name w:val="Assunto do comentário Char"/>
    <w:qFormat/>
    <w:rPr>
      <w:rFonts w:ascii="Arial" w:hAnsi="Arial" w:cs="Tahoma"/>
      <w:b/>
      <w:bCs/>
    </w:rPr>
  </w:style>
  <w:style w:type="character" w:styleId="TextodecomentrioChar">
    <w:name w:val="Texto de comentário Char"/>
    <w:qFormat/>
    <w:rPr>
      <w:rFonts w:ascii="Arial" w:hAnsi="Arial" w:cs="Tahoma"/>
    </w:rPr>
  </w:style>
  <w:style w:type="character" w:styleId="annotationreference">
    <w:name w:val="annotation reference"/>
    <w:qFormat/>
    <w:rPr>
      <w:sz w:val="18"/>
      <w:szCs w:val="18"/>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itao2Char">
    <w:name w:val="citação 2 Char"/>
    <w:qFormat/>
    <w:rPr>
      <w:rFonts w:ascii="Ecofont_Spranq_eco_Sans" w:hAnsi="Ecofont_Spranq_eco_Sans" w:eastAsia="Calibri" w:cs="Tahoma"/>
      <w:i/>
      <w:iCs/>
      <w:color w:val="000000"/>
      <w:shd w:fill="FFFFCC" w:val="clear"/>
      <w:lang w:eastAsia="en-US"/>
    </w:rPr>
  </w:style>
  <w:style w:type="character" w:styleId="apple-style-span">
    <w:name w:val="apple-style-span"/>
    <w:qFormat/>
    <w:rPr/>
  </w:style>
  <w:style w:type="character" w:styleId="normalchar1">
    <w:name w:val="normal__char1"/>
    <w:qFormat/>
    <w:rPr>
      <w:rFonts w:ascii="Arial" w:hAnsi="Arial" w:cs="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cs="Tahoma"/>
      <w:sz w:val="16"/>
      <w:szCs w:val="16"/>
    </w:rPr>
  </w:style>
  <w:style w:type="character" w:styleId="InternetLink1">
    <w:name w:val="Internet Link1"/>
    <w:qFormat/>
    <w:rPr>
      <w:color w:val="000080"/>
      <w:u w:val="single"/>
    </w:rPr>
  </w:style>
  <w:style w:type="character" w:styleId="Hyperlink">
    <w:name w:val="Hyperlink"/>
    <w:rPr>
      <w:color w:val="000080"/>
      <w:u w:val="single"/>
    </w:rPr>
  </w:style>
  <w:style w:type="character" w:styleId="Marcadores">
    <w:name w:val="Marcadores"/>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kinsoku w:val="true"/>
      <w:overflowPunct w:val="true"/>
      <w:autoSpaceDE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fill="FFFFCC" w:val="clear"/>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kinsoku w:val="true"/>
      <w:overflowPunct w:val="true"/>
      <w:autoSpaceDE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fill="FFFFFF" w:val="clear"/>
      <w:suppressAutoHyphens w:val="true"/>
      <w:kinsoku w:val="true"/>
      <w:overflowPunct w:val="true"/>
      <w:autoSpaceDE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Default">
    <w:name w:val="Default"/>
    <w:qFormat/>
    <w:pPr>
      <w:widowControl/>
      <w:suppressAutoHyphens w:val="true"/>
      <w:kinsoku w:val="true"/>
      <w:overflowPunct w:val="true"/>
      <w:autoSpaceDE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fill="FFFFCC" w:val="clear"/>
      <w:spacing w:before="120" w:after="0"/>
      <w:jc w:val="both"/>
    </w:pPr>
    <w:rPr>
      <w:rFonts w:ascii="Ecofont_Spranq_eco_Sans" w:hAnsi="Ecofont_Spranq_eco_Sans" w:cs="Ecofont_Spranq_eco_Sans"/>
      <w:i/>
      <w:iCs/>
      <w:color w:val="000000"/>
      <w:shd w:fill="FFFFCC" w:val="clear"/>
      <w:lang w:eastAsia="en-US"/>
    </w:rPr>
  </w:style>
  <w:style w:type="paragraph" w:styleId="Nivel5">
    <w:name w:val="Nivel 5"/>
    <w:qFormat/>
    <w:pPr>
      <w:widowControl/>
      <w:tabs>
        <w:tab w:val="clear" w:pos="708"/>
        <w:tab w:val="left" w:pos="360" w:leader="none"/>
      </w:tabs>
      <w:suppressAutoHyphens w:val="true"/>
      <w:kinsoku w:val="true"/>
      <w:overflowPunct w:val="true"/>
      <w:autoSpaceDE w:val="true"/>
      <w:bidi w:val="0"/>
      <w:spacing w:lineRule="auto" w:line="276" w:before="120" w:after="120"/>
      <w:ind w:hanging="0" w:left="3485"/>
      <w:jc w:val="both"/>
    </w:pPr>
    <w:rPr>
      <w:rFonts w:ascii="Ecofont_Spranq_eco_Sans" w:hAnsi="Ecofont_Spranq_eco_Sans" w:eastAsia="Arial Unicode MS" w:cs="Arial"/>
      <w:color w:val="auto"/>
      <w:kern w:val="0"/>
      <w:sz w:val="22"/>
      <w:szCs w:val="22"/>
      <w:lang w:val="pt-BR" w:eastAsia="en-US" w:bidi="ar-SA"/>
    </w:rPr>
  </w:style>
  <w:style w:type="paragraph" w:styleId="Nivel4">
    <w:name w:val="Nivel 4"/>
    <w:qFormat/>
    <w:pPr>
      <w:widowControl/>
      <w:tabs>
        <w:tab w:val="clear" w:pos="708"/>
        <w:tab w:val="left" w:pos="360" w:leader="none"/>
      </w:tabs>
      <w:suppressAutoHyphens w:val="true"/>
      <w:kinsoku w:val="true"/>
      <w:overflowPunct w:val="true"/>
      <w:autoSpaceDE w:val="true"/>
      <w:bidi w:val="0"/>
      <w:spacing w:lineRule="auto" w:line="276" w:before="120" w:after="120"/>
      <w:ind w:hanging="0" w:left="2491"/>
      <w:jc w:val="both"/>
    </w:pPr>
    <w:rPr>
      <w:rFonts w:ascii="Ecofont_Spranq_eco_Sans" w:hAnsi="Ecofont_Spranq_eco_Sans" w:eastAsia="Arial Unicode MS" w:cs="Arial"/>
      <w:color w:val="auto"/>
      <w:kern w:val="0"/>
      <w:sz w:val="22"/>
      <w:szCs w:val="22"/>
      <w:lang w:val="pt-BR" w:eastAsia="en-US" w:bidi="ar-SA"/>
    </w:rPr>
  </w:style>
  <w:style w:type="paragraph" w:styleId="Nivel11">
    <w:name w:val="Nivel 1"/>
    <w:qFormat/>
    <w:pPr>
      <w:widowControl/>
      <w:tabs>
        <w:tab w:val="clear" w:pos="708"/>
        <w:tab w:val="left" w:pos="360" w:leader="none"/>
      </w:tabs>
      <w:suppressAutoHyphens w:val="true"/>
      <w:kinsoku w:val="true"/>
      <w:overflowPunct w:val="true"/>
      <w:autoSpaceDE w:val="true"/>
      <w:bidi w:val="0"/>
      <w:spacing w:lineRule="auto" w:line="276" w:before="120" w:after="120"/>
      <w:ind w:hanging="432" w:left="644"/>
      <w:jc w:val="both"/>
    </w:pPr>
    <w:rPr>
      <w:rFonts w:ascii="Ecofont_Spranq_eco_Sans" w:hAnsi="Ecofont_Spranq_eco_Sans" w:eastAsia="Arial Unicode MS" w:cs="Arial"/>
      <w:b/>
      <w:color w:val="auto"/>
      <w:kern w:val="0"/>
      <w:sz w:val="22"/>
      <w:szCs w:val="22"/>
      <w:lang w:val="pt-BR" w:eastAsia="en-US" w:bidi="ar-SA"/>
    </w:rPr>
  </w:style>
  <w:style w:type="paragraph" w:styleId="PargrafodaLista1">
    <w:name w:val="Parágrafo da Lista1"/>
    <w:basedOn w:val="Normal"/>
    <w:qFormat/>
    <w:pPr>
      <w:ind w:hanging="0" w:left="720"/>
    </w:pPr>
    <w:rPr>
      <w:rFonts w:ascii="Ecofont_Spranq_eco_Sans" w:hAnsi="Ecofont_Spranq_eco_Sans" w:cs="Ecofont_Spranq_eco_Sans"/>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val="clear"/>
      <w:spacing w:before="120" w:after="0"/>
      <w:jc w:val="both"/>
    </w:pPr>
    <w:rPr>
      <w:rFonts w:ascii="Ecofont_Spranq_eco_Sans" w:hAnsi="Ecofont_Spranq_eco_Sans" w:eastAsia="Calibri"/>
      <w:i/>
      <w:iCs/>
      <w:color w:val="000000"/>
    </w:rPr>
  </w:style>
  <w:style w:type="paragraph" w:styleId="Nivel01">
    <w:name w:val="Nivel_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365F91"/>
      <w:sz w:val="20"/>
      <w:szCs w:val="20"/>
    </w:rPr>
  </w:style>
  <w:style w:type="paragraph" w:styleId="Nivel01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annotationsubject">
    <w:name w:val="annotation subject"/>
    <w:qFormat/>
    <w:pPr>
      <w:widowControl/>
      <w:suppressAutoHyphens w:val="true"/>
      <w:kinsoku w:val="true"/>
      <w:overflowPunct w:val="true"/>
      <w:autoSpaceDE w:val="true"/>
      <w:bidi w:val="0"/>
      <w:spacing w:before="0" w:after="0"/>
      <w:jc w:val="left"/>
    </w:pPr>
    <w:rPr>
      <w:rFonts w:ascii="Calibri" w:hAnsi="Calibri" w:eastAsia="Calibri" w:cs="0"/>
      <w:b/>
      <w:bCs/>
      <w:color w:val="auto"/>
      <w:kern w:val="0"/>
      <w:sz w:val="20"/>
      <w:szCs w:val="20"/>
      <w:lang w:val="pt-BR" w:eastAsia="en-US" w:bidi="ar-SA"/>
    </w:rPr>
  </w:style>
  <w:style w:type="paragraph" w:styleId="AnnotationText">
    <w:name w:val="Annotation Text"/>
    <w:basedOn w:val="Normal"/>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val="clear"/>
      <w:spacing w:before="120" w:after="0"/>
      <w:jc w:val="both"/>
    </w:pPr>
    <w:rPr>
      <w:rFonts w:eastAsia="Calibri" w:cs="Times New Roman"/>
      <w:i/>
      <w:iCs/>
      <w:color w:val="000000"/>
      <w:lang w:val="x-none" w:eastAsia="en-US"/>
    </w:rPr>
  </w:style>
  <w:style w:type="paragraph" w:styleId="ListBullet5">
    <w:name w:val="List Bullet 5"/>
    <w:basedOn w:val="Normal"/>
    <w:pPr>
      <w:spacing w:before="0" w:after="0"/>
      <w:contextualSpacing/>
    </w:pPr>
    <w:rPr/>
  </w:style>
  <w:style w:type="paragraph" w:styleId="Nvel2">
    <w:name w:val="Nível 2"/>
    <w:basedOn w:val="Normal"/>
    <w:qFormat/>
    <w:pPr>
      <w:spacing w:before="0" w:after="120"/>
      <w:jc w:val="both"/>
    </w:pPr>
    <w:rPr>
      <w:rFonts w:cs="Times New Roman"/>
      <w:b/>
      <w:szCs w:val="20"/>
    </w:rPr>
  </w:style>
  <w:style w:type="paragraph" w:styleId="BalloonText">
    <w:name w:val="Balloon Text"/>
    <w:basedOn w:val="Normal"/>
    <w:qFormat/>
    <w:pPr/>
    <w:rPr>
      <w:rFonts w:ascii="Tahoma" w:hAnsi="Tahoma"/>
      <w:sz w:val="16"/>
      <w:szCs w:val="16"/>
    </w:rPr>
  </w:style>
  <w:style w:type="paragraph" w:styleId="NormalWeb">
    <w:name w:val="Normal (Web)"/>
    <w:basedOn w:val="Normal"/>
    <w:qFormat/>
    <w:pPr>
      <w:spacing w:before="280" w:after="280"/>
    </w:pPr>
    <w:rPr>
      <w:rFonts w:ascii="Times New Roman" w:hAnsi="Times New Roman" w:cs="Times New Roman"/>
    </w:rPr>
  </w:style>
  <w:style w:type="paragraph" w:styleId="Contedodatabela">
    <w:name w:val="Conteúdo da tabela"/>
    <w:basedOn w:val="Normal"/>
    <w:qFormat/>
    <w:pPr/>
    <w:rPr/>
  </w:style>
  <w:style w:type="paragraph" w:styleId="Ttulodetabela">
    <w:name w:val="Título de tabela"/>
    <w:basedOn w:val="Contedodatabela"/>
    <w:qFormat/>
    <w:pPr>
      <w:suppressLineNumbers/>
      <w:jc w:val="center"/>
    </w:pPr>
    <w:rPr>
      <w:b/>
      <w:bCs/>
    </w:rPr>
  </w:style>
  <w:style w:type="numbering" w:styleId="Semlista">
    <w:name w:val="Sem lista"/>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755</TotalTime>
  <Application>LibreOffice/24.2.6.2$Windows_X86_64 LibreOffice_project/ef66aa7e36a1bb8e65bfbc63aba53045a14d0871</Application>
  <AppVersion>15.0000</AppVersion>
  <Pages>28</Pages>
  <Words>6071</Words>
  <Characters>33666</Characters>
  <CharactersWithSpaces>39462</CharactersWithSpaces>
  <Paragraphs>373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2024-11-28T13:52:17Z</cp:lastPrinted>
  <dcterms:modified xsi:type="dcterms:W3CDTF">2024-12-05T16:53:42Z</dcterms:modified>
  <cp:revision>141</cp:revision>
  <dc:subject/>
  <dc:title/>
</cp:coreProperties>
</file>

<file path=docProps/custom.xml><?xml version="1.0" encoding="utf-8"?>
<Properties xmlns="http://schemas.openxmlformats.org/officeDocument/2006/custom-properties" xmlns:vt="http://schemas.openxmlformats.org/officeDocument/2006/docPropsVTypes"/>
</file>